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06221" w14:textId="2363619C" w:rsidR="007C65CE" w:rsidRDefault="007C65CE" w:rsidP="007C65CE">
      <w:pPr>
        <w:spacing w:after="0" w:line="240" w:lineRule="auto"/>
        <w:jc w:val="right"/>
      </w:pPr>
      <w:bookmarkStart w:id="0" w:name="_GoBack"/>
      <w:bookmarkEnd w:id="0"/>
      <w:r>
        <w:t>Nathan Kennedy</w:t>
      </w:r>
    </w:p>
    <w:p w14:paraId="36A47530" w14:textId="66418B20" w:rsidR="007C65CE" w:rsidRDefault="00187491" w:rsidP="00187491">
      <w:pPr>
        <w:tabs>
          <w:tab w:val="left" w:pos="1983"/>
          <w:tab w:val="right" w:pos="9360"/>
        </w:tabs>
        <w:spacing w:after="0" w:line="240" w:lineRule="auto"/>
      </w:pPr>
      <w:r w:rsidRPr="00187491">
        <w:rPr>
          <w:b/>
          <w:bCs/>
        </w:rPr>
        <w:t>Exhibit 1</w:t>
      </w:r>
      <w:r>
        <w:tab/>
      </w:r>
      <w:r>
        <w:tab/>
      </w:r>
      <w:r w:rsidR="007C65CE">
        <w:t>NRE Consulting Services, LLC</w:t>
      </w:r>
    </w:p>
    <w:p w14:paraId="17F1695A" w14:textId="77777777" w:rsidR="007C65CE" w:rsidRDefault="007C65CE" w:rsidP="007C65CE">
      <w:pPr>
        <w:spacing w:after="0" w:line="240" w:lineRule="auto"/>
        <w:jc w:val="right"/>
      </w:pPr>
      <w:r>
        <w:t>December 18, 2020</w:t>
      </w:r>
    </w:p>
    <w:p w14:paraId="5180C6FF" w14:textId="77777777" w:rsidR="007C65CE" w:rsidRPr="007C65CE" w:rsidRDefault="007C65CE" w:rsidP="007C65CE"/>
    <w:p w14:paraId="7A57C958" w14:textId="0284B23B" w:rsidR="007C65CE" w:rsidRPr="0084187E" w:rsidRDefault="007C65CE" w:rsidP="007C65CE">
      <w:pPr>
        <w:pStyle w:val="Title"/>
        <w:jc w:val="center"/>
        <w:rPr>
          <w:b/>
          <w:bCs/>
          <w:sz w:val="36"/>
          <w:szCs w:val="36"/>
        </w:rPr>
      </w:pPr>
      <w:r w:rsidRPr="0084187E">
        <w:rPr>
          <w:b/>
          <w:bCs/>
          <w:sz w:val="36"/>
          <w:szCs w:val="36"/>
        </w:rPr>
        <w:t xml:space="preserve">Assessment of the </w:t>
      </w:r>
      <w:r w:rsidR="00EE57FF" w:rsidRPr="0084187E">
        <w:rPr>
          <w:b/>
          <w:bCs/>
          <w:sz w:val="36"/>
          <w:szCs w:val="36"/>
        </w:rPr>
        <w:t xml:space="preserve">Everglades Agricultural Area </w:t>
      </w:r>
      <w:r w:rsidRPr="0084187E">
        <w:rPr>
          <w:b/>
          <w:bCs/>
          <w:sz w:val="36"/>
          <w:szCs w:val="36"/>
        </w:rPr>
        <w:t>Reservoir</w:t>
      </w:r>
    </w:p>
    <w:p w14:paraId="0696B4F4" w14:textId="2B1455CD" w:rsidR="135F76DC" w:rsidRPr="0084187E" w:rsidRDefault="007C65CE" w:rsidP="007C65CE">
      <w:pPr>
        <w:pStyle w:val="Title"/>
        <w:jc w:val="center"/>
        <w:rPr>
          <w:b/>
          <w:bCs/>
          <w:sz w:val="36"/>
          <w:szCs w:val="36"/>
        </w:rPr>
      </w:pPr>
      <w:r w:rsidRPr="0084187E">
        <w:rPr>
          <w:b/>
          <w:bCs/>
          <w:sz w:val="36"/>
          <w:szCs w:val="36"/>
        </w:rPr>
        <w:t>Statement of Estimated Regulatory Costs</w:t>
      </w:r>
    </w:p>
    <w:p w14:paraId="2C441A09" w14:textId="0CD8CA84" w:rsidR="003E0629" w:rsidRPr="0084187E" w:rsidRDefault="003E0629" w:rsidP="135F76DC">
      <w:pPr>
        <w:rPr>
          <w:b/>
          <w:bCs/>
        </w:rPr>
      </w:pPr>
    </w:p>
    <w:p w14:paraId="6692D74D" w14:textId="44E08D1E" w:rsidR="0017296A" w:rsidRDefault="003E0629" w:rsidP="003313B6">
      <w:r>
        <w:t xml:space="preserve">This </w:t>
      </w:r>
      <w:r w:rsidR="008A466A">
        <w:t>report</w:t>
      </w:r>
      <w:r w:rsidR="009C2C81">
        <w:t>, done in coordination with the South Florida Water Management District staff,</w:t>
      </w:r>
      <w:r>
        <w:t xml:space="preserve"> is intended to document </w:t>
      </w:r>
      <w:r w:rsidR="007C65CE">
        <w:t>an</w:t>
      </w:r>
      <w:r>
        <w:t xml:space="preserve"> assessment of the </w:t>
      </w:r>
      <w:r w:rsidR="00485487">
        <w:t xml:space="preserve">potential </w:t>
      </w:r>
      <w:r w:rsidR="00534A70">
        <w:t xml:space="preserve">regulatory costs and economic impacts of the </w:t>
      </w:r>
      <w:r w:rsidR="00485487">
        <w:t xml:space="preserve">proposed reservation rule </w:t>
      </w:r>
      <w:r w:rsidR="00F40366">
        <w:t xml:space="preserve">last revised </w:t>
      </w:r>
      <w:r w:rsidR="00587D9F">
        <w:t xml:space="preserve">and adopted </w:t>
      </w:r>
      <w:r w:rsidR="00485487">
        <w:t xml:space="preserve">by the District on December 10, 2020. </w:t>
      </w:r>
      <w:r w:rsidR="0017296A">
        <w:t>An earlier version of the rule was published on October 16, 2020. Subsequently, l</w:t>
      </w:r>
      <w:r w:rsidR="00F40366">
        <w:t xml:space="preserve">ower </w:t>
      </w:r>
      <w:r w:rsidR="009C2C81">
        <w:t>c</w:t>
      </w:r>
      <w:r w:rsidR="00F40366">
        <w:t xml:space="preserve">ost </w:t>
      </w:r>
      <w:r w:rsidR="009C2C81">
        <w:t>r</w:t>
      </w:r>
      <w:r w:rsidR="00F40366">
        <w:t xml:space="preserve">egulatory </w:t>
      </w:r>
      <w:r w:rsidR="009C2C81">
        <w:t>a</w:t>
      </w:r>
      <w:r w:rsidR="00F40366">
        <w:t>lternative</w:t>
      </w:r>
      <w:r w:rsidR="009C2C81">
        <w:t>s (LCRAs)</w:t>
      </w:r>
      <w:r w:rsidR="00F40366">
        <w:t xml:space="preserve"> where received </w:t>
      </w:r>
      <w:r w:rsidR="009C2C81">
        <w:t>from the City of West Palm Beach and stakeholders with</w:t>
      </w:r>
      <w:r w:rsidR="00B42415">
        <w:t>in</w:t>
      </w:r>
      <w:r w:rsidR="009C2C81">
        <w:t xml:space="preserve"> the </w:t>
      </w:r>
      <w:r w:rsidR="0017296A">
        <w:t>Everglades</w:t>
      </w:r>
      <w:r w:rsidR="009C2C81">
        <w:t xml:space="preserve"> Agricultural </w:t>
      </w:r>
      <w:r w:rsidR="0017296A">
        <w:t xml:space="preserve">Area. The latest version of the rule was developed in response to comments received from the public, and a public </w:t>
      </w:r>
      <w:r w:rsidR="002966EB">
        <w:t>rule ado</w:t>
      </w:r>
      <w:r w:rsidR="00CE4AF2">
        <w:t xml:space="preserve">ption </w:t>
      </w:r>
      <w:r w:rsidR="00E00C99">
        <w:t>hearing</w:t>
      </w:r>
      <w:r w:rsidR="0017296A">
        <w:t xml:space="preserve"> was held on December 10, 2020. While the </w:t>
      </w:r>
      <w:r w:rsidR="003313B6">
        <w:t xml:space="preserve">revised rule language has addressed stakeholder concerns, some aspects of the submitted LCRAs are considered in the analysis below. The proposed reservation rule is examined considering its potential </w:t>
      </w:r>
      <w:r w:rsidR="00B36996">
        <w:t>effect</w:t>
      </w:r>
      <w:r w:rsidR="003313B6">
        <w:t xml:space="preserve"> on the economy, business competitiveness, </w:t>
      </w:r>
      <w:r w:rsidR="00E00C99">
        <w:t xml:space="preserve">and </w:t>
      </w:r>
      <w:r w:rsidR="003313B6">
        <w:t xml:space="preserve">regulatory costs covering all </w:t>
      </w:r>
      <w:r w:rsidR="00966710">
        <w:t>components of the O</w:t>
      </w:r>
      <w:r w:rsidR="00C2532F">
        <w:t xml:space="preserve">ffice of </w:t>
      </w:r>
      <w:r w:rsidR="00966710">
        <w:t>F</w:t>
      </w:r>
      <w:r w:rsidR="00C2532F">
        <w:t xml:space="preserve">iscal </w:t>
      </w:r>
      <w:r w:rsidR="00966710">
        <w:t>A</w:t>
      </w:r>
      <w:r w:rsidR="004A6323">
        <w:t>ccountability a</w:t>
      </w:r>
      <w:r w:rsidR="00C2532F">
        <w:t xml:space="preserve">nd </w:t>
      </w:r>
      <w:r w:rsidR="00966710">
        <w:t>R</w:t>
      </w:r>
      <w:r w:rsidR="004A6323">
        <w:t xml:space="preserve">egulatory </w:t>
      </w:r>
      <w:r w:rsidR="00966710">
        <w:t>R</w:t>
      </w:r>
      <w:r w:rsidR="004A6323">
        <w:t>eform (OFARR)</w:t>
      </w:r>
      <w:r w:rsidR="00966710">
        <w:t xml:space="preserve"> S</w:t>
      </w:r>
      <w:r w:rsidR="004A6323">
        <w:t xml:space="preserve">tatement of </w:t>
      </w:r>
      <w:r w:rsidR="00966710">
        <w:t>E</w:t>
      </w:r>
      <w:r w:rsidR="004A6323">
        <w:t xml:space="preserve">stimated </w:t>
      </w:r>
      <w:r w:rsidR="00966710">
        <w:t>R</w:t>
      </w:r>
      <w:r w:rsidR="004A6323">
        <w:t xml:space="preserve">egulatory </w:t>
      </w:r>
      <w:r w:rsidR="00966710">
        <w:t>C</w:t>
      </w:r>
      <w:r w:rsidR="004A6323">
        <w:t>ost (SERC)</w:t>
      </w:r>
      <w:r w:rsidR="00966710">
        <w:t xml:space="preserve"> form. </w:t>
      </w:r>
    </w:p>
    <w:p w14:paraId="6D245EB5" w14:textId="6D48F5B6" w:rsidR="0017296A" w:rsidRPr="0084187E" w:rsidRDefault="00966710" w:rsidP="00966710">
      <w:pPr>
        <w:rPr>
          <w:b/>
          <w:bCs/>
          <w:sz w:val="28"/>
          <w:szCs w:val="28"/>
        </w:rPr>
      </w:pPr>
      <w:r w:rsidRPr="0084187E">
        <w:rPr>
          <w:b/>
          <w:bCs/>
          <w:sz w:val="28"/>
          <w:szCs w:val="28"/>
        </w:rPr>
        <w:t xml:space="preserve">Proposed Rule and Economic Impact </w:t>
      </w:r>
    </w:p>
    <w:p w14:paraId="79CDF0A9" w14:textId="0042C8E7" w:rsidR="009311A9" w:rsidRDefault="009311A9" w:rsidP="006C4389">
      <w:pPr>
        <w:spacing w:after="0" w:line="240" w:lineRule="auto"/>
      </w:pPr>
      <w:r>
        <w:t xml:space="preserve">The proposed reservation rule </w:t>
      </w:r>
      <w:r w:rsidRPr="009311A9">
        <w:t>would reserve</w:t>
      </w:r>
      <w:r w:rsidR="00587D9F">
        <w:t xml:space="preserve"> for the protection of fish and wildlife</w:t>
      </w:r>
      <w:r w:rsidRPr="009311A9">
        <w:t xml:space="preserve"> all surface water flowing out of the EAA Reservoir through Structures S-624, S-625, and S-626 toward </w:t>
      </w:r>
      <w:r w:rsidR="00EF7407">
        <w:t xml:space="preserve">protected basins within the </w:t>
      </w:r>
      <w:r w:rsidRPr="009311A9">
        <w:t>Central Everglades.</w:t>
      </w:r>
      <w:r w:rsidR="00FD698F">
        <w:t xml:space="preserve"> </w:t>
      </w:r>
      <w:r w:rsidR="00EF7407">
        <w:t xml:space="preserve">It is </w:t>
      </w:r>
      <w:r w:rsidR="006D0BDA" w:rsidRPr="00534A70">
        <w:t xml:space="preserve">not likely to have any adverse impact on economic growth, private-sector job creation or employment, or private-sector investment within </w:t>
      </w:r>
      <w:r w:rsidR="00BB74D7">
        <w:t>five</w:t>
      </w:r>
      <w:r w:rsidR="006D0BDA" w:rsidRPr="00534A70">
        <w:t xml:space="preserve"> years after the implementation of the rule</w:t>
      </w:r>
      <w:r w:rsidR="0017296A">
        <w:t>.</w:t>
      </w:r>
      <w:r>
        <w:t xml:space="preserve"> </w:t>
      </w:r>
      <w:r w:rsidR="0017296A">
        <w:t xml:space="preserve">The </w:t>
      </w:r>
      <w:r w:rsidR="00966710">
        <w:t>lack of negative economic impact</w:t>
      </w:r>
      <w:r w:rsidR="00587D9F">
        <w:t>s</w:t>
      </w:r>
      <w:r w:rsidR="00966710">
        <w:t xml:space="preserve"> is due to</w:t>
      </w:r>
      <w:r w:rsidR="00EF7407">
        <w:t xml:space="preserve"> a</w:t>
      </w:r>
      <w:r w:rsidR="00966710">
        <w:t xml:space="preserve"> </w:t>
      </w:r>
      <w:r>
        <w:t>scheduled revision</w:t>
      </w:r>
      <w:r w:rsidR="00446245">
        <w:t xml:space="preserve"> of the </w:t>
      </w:r>
      <w:r w:rsidR="00AD19E3">
        <w:t>reservation</w:t>
      </w:r>
      <w:r w:rsidR="00446245" w:rsidRPr="00446245">
        <w:rPr>
          <w:rFonts w:cstheme="minorHAnsi"/>
          <w:color w:val="000000" w:themeColor="text1"/>
        </w:rPr>
        <w:t xml:space="preserve"> </w:t>
      </w:r>
      <w:r w:rsidR="00446245" w:rsidRPr="002F4281">
        <w:rPr>
          <w:rFonts w:cstheme="minorHAnsi"/>
          <w:color w:val="000000" w:themeColor="text1"/>
        </w:rPr>
        <w:t xml:space="preserve">once a Project Operating Manual </w:t>
      </w:r>
      <w:r w:rsidR="006C2259">
        <w:rPr>
          <w:rFonts w:cstheme="minorHAnsi"/>
          <w:color w:val="000000" w:themeColor="text1"/>
        </w:rPr>
        <w:t>is</w:t>
      </w:r>
      <w:r w:rsidR="00446245" w:rsidRPr="002F4281">
        <w:rPr>
          <w:rFonts w:cstheme="minorHAnsi"/>
          <w:color w:val="000000" w:themeColor="text1"/>
        </w:rPr>
        <w:t xml:space="preserve"> developed for the EAA Reservoir</w:t>
      </w:r>
      <w:r w:rsidR="00446245">
        <w:rPr>
          <w:rFonts w:cstheme="minorHAnsi"/>
          <w:color w:val="000000" w:themeColor="text1"/>
        </w:rPr>
        <w:t xml:space="preserve"> and </w:t>
      </w:r>
      <w:r w:rsidR="006C2259">
        <w:rPr>
          <w:rFonts w:cstheme="minorHAnsi"/>
          <w:color w:val="000000" w:themeColor="text1"/>
        </w:rPr>
        <w:t>the reservoir</w:t>
      </w:r>
      <w:r w:rsidR="00446245">
        <w:rPr>
          <w:rFonts w:cstheme="minorHAnsi"/>
          <w:color w:val="000000" w:themeColor="text1"/>
        </w:rPr>
        <w:t xml:space="preserve"> </w:t>
      </w:r>
      <w:r w:rsidR="00446245" w:rsidRPr="002F4281">
        <w:rPr>
          <w:rFonts w:cstheme="minorHAnsi"/>
          <w:color w:val="000000" w:themeColor="text1"/>
        </w:rPr>
        <w:t>is deemed operational</w:t>
      </w:r>
      <w:r w:rsidR="004E089B">
        <w:rPr>
          <w:rFonts w:cstheme="minorHAnsi"/>
          <w:color w:val="000000" w:themeColor="text1"/>
        </w:rPr>
        <w:t xml:space="preserve"> by the District’s Governing Board</w:t>
      </w:r>
      <w:r>
        <w:t xml:space="preserve">, </w:t>
      </w:r>
      <w:r w:rsidR="00EF7407">
        <w:t xml:space="preserve">negligible future </w:t>
      </w:r>
      <w:r>
        <w:t>impacts on agricultural activities immediately adjacent to the reservoir,</w:t>
      </w:r>
      <w:r w:rsidR="00EF7407">
        <w:t xml:space="preserve"> </w:t>
      </w:r>
      <w:r w:rsidR="000F2959">
        <w:t>with no</w:t>
      </w:r>
      <w:r w:rsidR="00772427">
        <w:t xml:space="preserve"> </w:t>
      </w:r>
      <w:r w:rsidR="00EF7407">
        <w:t xml:space="preserve">reduction of water supplies and flood protection services </w:t>
      </w:r>
      <w:r w:rsidR="0047212C">
        <w:t xml:space="preserve">to entities </w:t>
      </w:r>
      <w:r w:rsidR="00EF7407">
        <w:t>upstream and downstream of the reservoir and the reserved water.</w:t>
      </w:r>
    </w:p>
    <w:p w14:paraId="17260445" w14:textId="287E7926" w:rsidR="00587D9F" w:rsidRDefault="00587D9F" w:rsidP="0017296A">
      <w:pPr>
        <w:pStyle w:val="NoSpacing"/>
      </w:pPr>
    </w:p>
    <w:p w14:paraId="153B2284" w14:textId="649D7379" w:rsidR="00587D9F" w:rsidRDefault="00587D9F" w:rsidP="0017296A">
      <w:pPr>
        <w:pStyle w:val="NoSpacing"/>
      </w:pPr>
      <w:r>
        <w:t>The proposed rule language under 40E-10.061 states:</w:t>
      </w:r>
    </w:p>
    <w:p w14:paraId="78E46E0A" w14:textId="79084E6A" w:rsidR="00CE1855" w:rsidRPr="00587D9F" w:rsidRDefault="00587D9F" w:rsidP="00587D9F">
      <w:pPr>
        <w:spacing w:before="100" w:beforeAutospacing="1" w:after="100" w:afterAutospacing="1" w:line="240" w:lineRule="auto"/>
        <w:ind w:left="720"/>
        <w:rPr>
          <w:rFonts w:ascii="Times New Roman" w:eastAsia="Times New Roman" w:hAnsi="Times New Roman" w:cs="Times New Roman"/>
          <w:sz w:val="24"/>
          <w:szCs w:val="24"/>
        </w:rPr>
      </w:pPr>
      <w:r w:rsidRPr="00587D9F">
        <w:rPr>
          <w:rFonts w:ascii="TimesNewRomanPSMT" w:eastAsia="Times New Roman" w:hAnsi="TimesNewRomanPSMT" w:cs="Times New Roman"/>
          <w:sz w:val="20"/>
          <w:szCs w:val="20"/>
        </w:rPr>
        <w:t xml:space="preserve">Within 90 days of approval of the Final Project Operating Manual or Final System Operating Manual for the EAA Reservoir, the District shall publish a Notice of Rule Development to revise the reservation contained in paragraph 40E- 10.061(3)(a), F.A.C., above, and criteria in Section 3.11.6 of the Applicant’s Handbook, incorporated by reference in Rule 40E-2.091, F.A.C. Said rulemaking must result in an adopted rule that is in effect, unless subject to legal proceedings or legislative ratification, within two years of publication of the Notice of Rule Development and before the EAA Reservoir is deemed operational pursuant to paragraph 40E-10.061(3)(b), F.A.C., above. </w:t>
      </w:r>
    </w:p>
    <w:p w14:paraId="4BD330D7" w14:textId="122D34CA" w:rsidR="00534A70" w:rsidRDefault="0084187E" w:rsidP="00FD698F">
      <w:pPr>
        <w:jc w:val="both"/>
        <w:rPr>
          <w:rFonts w:eastAsia="Calibri" w:cstheme="minorHAnsi"/>
        </w:rPr>
      </w:pPr>
      <w:r>
        <w:rPr>
          <w:rFonts w:eastAsia="Calibri" w:cstheme="minorHAnsi"/>
        </w:rPr>
        <w:t xml:space="preserve">No water will be reserved until the EAA Reservoir is constructed and deemed operational, and as stated above, </w:t>
      </w:r>
      <w:r w:rsidR="00441288">
        <w:rPr>
          <w:rFonts w:eastAsia="Calibri" w:cstheme="minorHAnsi"/>
        </w:rPr>
        <w:t xml:space="preserve">the District shall revise the reservation prior to the reservoir being deemed operational. </w:t>
      </w:r>
      <w:r w:rsidR="00441288" w:rsidRPr="0084187E">
        <w:rPr>
          <w:rFonts w:eastAsia="Calibri" w:cstheme="minorHAnsi"/>
        </w:rPr>
        <w:t>Therefore, the proposed rule operate</w:t>
      </w:r>
      <w:r w:rsidR="00441288">
        <w:rPr>
          <w:rFonts w:eastAsia="Calibri" w:cstheme="minorHAnsi"/>
        </w:rPr>
        <w:t>s</w:t>
      </w:r>
      <w:r w:rsidR="00441288" w:rsidRPr="0084187E">
        <w:rPr>
          <w:rFonts w:eastAsia="Calibri" w:cstheme="minorHAnsi"/>
        </w:rPr>
        <w:t xml:space="preserve"> as a</w:t>
      </w:r>
      <w:r w:rsidR="00441288" w:rsidRPr="0084187E">
        <w:rPr>
          <w:rFonts w:cstheme="minorHAnsi"/>
        </w:rPr>
        <w:t xml:space="preserve"> prospective reservation</w:t>
      </w:r>
      <w:r w:rsidR="00405881">
        <w:rPr>
          <w:rFonts w:cstheme="minorHAnsi"/>
        </w:rPr>
        <w:t xml:space="preserve">. With no water being reserved, there are no negative economic impacts. </w:t>
      </w:r>
    </w:p>
    <w:p w14:paraId="4285F17A" w14:textId="34F8BAF6" w:rsidR="00027258" w:rsidRDefault="003558B6" w:rsidP="00027258">
      <w:pPr>
        <w:jc w:val="both"/>
        <w:rPr>
          <w:rFonts w:eastAsia="Calibri" w:cstheme="minorHAnsi"/>
        </w:rPr>
      </w:pPr>
      <w:r>
        <w:rPr>
          <w:rFonts w:eastAsia="Calibri" w:cstheme="minorHAnsi"/>
        </w:rPr>
        <w:lastRenderedPageBreak/>
        <w:t>I</w:t>
      </w:r>
      <w:r w:rsidR="003C04F8">
        <w:rPr>
          <w:rFonts w:eastAsia="Calibri" w:cstheme="minorHAnsi"/>
        </w:rPr>
        <w:t>n the case that the</w:t>
      </w:r>
      <w:r w:rsidR="009949E7">
        <w:rPr>
          <w:rFonts w:eastAsia="Calibri" w:cstheme="minorHAnsi"/>
        </w:rPr>
        <w:t xml:space="preserve"> rule</w:t>
      </w:r>
      <w:r w:rsidR="00074536">
        <w:rPr>
          <w:rFonts w:eastAsia="Calibri" w:cstheme="minorHAnsi"/>
        </w:rPr>
        <w:t xml:space="preserve"> was </w:t>
      </w:r>
      <w:r w:rsidR="000256EF">
        <w:rPr>
          <w:rFonts w:eastAsia="Calibri" w:cstheme="minorHAnsi"/>
        </w:rPr>
        <w:t>not</w:t>
      </w:r>
      <w:r w:rsidR="00074536">
        <w:rPr>
          <w:rFonts w:eastAsia="Calibri" w:cstheme="minorHAnsi"/>
        </w:rPr>
        <w:t xml:space="preserve"> prospective and did reserve</w:t>
      </w:r>
      <w:r w:rsidR="003C04F8">
        <w:rPr>
          <w:rFonts w:eastAsia="Calibri" w:cstheme="minorHAnsi"/>
        </w:rPr>
        <w:t xml:space="preserve"> </w:t>
      </w:r>
      <w:r w:rsidR="000256EF">
        <w:rPr>
          <w:rFonts w:eastAsia="Calibri" w:cstheme="minorHAnsi"/>
        </w:rPr>
        <w:t xml:space="preserve">actual </w:t>
      </w:r>
      <w:r w:rsidR="003C04F8">
        <w:rPr>
          <w:rFonts w:eastAsia="Calibri" w:cstheme="minorHAnsi"/>
        </w:rPr>
        <w:t>water</w:t>
      </w:r>
      <w:r w:rsidR="00AA5D9C">
        <w:rPr>
          <w:rFonts w:eastAsia="Calibri" w:cstheme="minorHAnsi"/>
        </w:rPr>
        <w:t>,</w:t>
      </w:r>
      <w:r w:rsidR="001B1668">
        <w:rPr>
          <w:rFonts w:eastAsia="Calibri" w:cstheme="minorHAnsi"/>
        </w:rPr>
        <w:t xml:space="preserve"> the potential economic impacts to agricultural operations immediately adjacent to the reservoir were evaluated in t</w:t>
      </w:r>
      <w:r w:rsidR="00405881" w:rsidRPr="001B1668">
        <w:rPr>
          <w:rFonts w:eastAsia="Calibri" w:cstheme="minorHAnsi"/>
        </w:rPr>
        <w:t>he</w:t>
      </w:r>
      <w:r w:rsidR="00405881" w:rsidRPr="001B1668">
        <w:rPr>
          <w:rFonts w:eastAsia="Calibri" w:cstheme="minorHAnsi"/>
          <w:i/>
          <w:iCs/>
        </w:rPr>
        <w:t xml:space="preserve"> Technical Document to Support </w:t>
      </w:r>
      <w:r w:rsidR="003C04F8" w:rsidRPr="001B1668">
        <w:rPr>
          <w:rFonts w:eastAsia="Calibri" w:cstheme="minorHAnsi"/>
          <w:i/>
          <w:iCs/>
        </w:rPr>
        <w:t>the Central Everglades Planning Project Everglades Agricultural Area Reservoir Water Reservation</w:t>
      </w:r>
      <w:r w:rsidR="00762DE1">
        <w:rPr>
          <w:rFonts w:eastAsia="Calibri" w:cstheme="minorHAnsi"/>
          <w:i/>
          <w:iCs/>
        </w:rPr>
        <w:t xml:space="preserve"> </w:t>
      </w:r>
      <w:r w:rsidR="00762DE1" w:rsidRPr="006C4389">
        <w:rPr>
          <w:rFonts w:eastAsia="Calibri" w:cstheme="minorHAnsi"/>
        </w:rPr>
        <w:t>(SFWMD 2020)</w:t>
      </w:r>
      <w:r w:rsidR="001B1668" w:rsidRPr="00762DE1">
        <w:rPr>
          <w:rFonts w:eastAsia="Calibri" w:cstheme="minorHAnsi"/>
        </w:rPr>
        <w:t xml:space="preserve">. </w:t>
      </w:r>
      <w:r>
        <w:rPr>
          <w:rFonts w:eastAsia="Calibri" w:cstheme="minorHAnsi"/>
        </w:rPr>
        <w:t xml:space="preserve">The technical document identified seven agricultural operations </w:t>
      </w:r>
      <w:r w:rsidR="00DD6CB6">
        <w:rPr>
          <w:rFonts w:eastAsia="Calibri" w:cstheme="minorHAnsi"/>
        </w:rPr>
        <w:t>north</w:t>
      </w:r>
      <w:r w:rsidR="008E75F4">
        <w:rPr>
          <w:rFonts w:eastAsia="Calibri" w:cstheme="minorHAnsi"/>
        </w:rPr>
        <w:t xml:space="preserve"> of the reservoir </w:t>
      </w:r>
      <w:r>
        <w:rPr>
          <w:rFonts w:eastAsia="Calibri" w:cstheme="minorHAnsi"/>
        </w:rPr>
        <w:t>permitted to use solely surface water from either the L-19, L-23, or the L-24 canals</w:t>
      </w:r>
      <w:r w:rsidR="00A34E7D">
        <w:rPr>
          <w:rFonts w:eastAsia="Calibri" w:cstheme="minorHAnsi"/>
        </w:rPr>
        <w:t>.</w:t>
      </w:r>
      <w:r w:rsidR="001B1668" w:rsidRPr="001B1668">
        <w:rPr>
          <w:rFonts w:eastAsia="Calibri" w:cstheme="minorHAnsi"/>
        </w:rPr>
        <w:t xml:space="preserve"> </w:t>
      </w:r>
      <w:r w:rsidR="00A71E27">
        <w:rPr>
          <w:rFonts w:eastAsia="Calibri" w:cstheme="minorHAnsi"/>
        </w:rPr>
        <w:t>S</w:t>
      </w:r>
      <w:r w:rsidR="001B1668" w:rsidRPr="001B1668">
        <w:rPr>
          <w:rFonts w:eastAsia="Calibri" w:cstheme="minorHAnsi"/>
        </w:rPr>
        <w:t>everal modeling scenarios were performed</w:t>
      </w:r>
      <w:r w:rsidR="00DB7200">
        <w:rPr>
          <w:rFonts w:eastAsia="Calibri" w:cstheme="minorHAnsi"/>
        </w:rPr>
        <w:t xml:space="preserve"> </w:t>
      </w:r>
      <w:r w:rsidR="00ED4EAC">
        <w:rPr>
          <w:rFonts w:eastAsia="Calibri" w:cstheme="minorHAnsi"/>
        </w:rPr>
        <w:t>to evaluate any potential seepage from the E</w:t>
      </w:r>
      <w:r w:rsidR="00A341F7">
        <w:rPr>
          <w:rFonts w:eastAsia="Calibri" w:cstheme="minorHAnsi"/>
        </w:rPr>
        <w:t>A</w:t>
      </w:r>
      <w:r w:rsidR="00ED4EAC">
        <w:rPr>
          <w:rFonts w:eastAsia="Calibri" w:cstheme="minorHAnsi"/>
        </w:rPr>
        <w:t xml:space="preserve">A </w:t>
      </w:r>
      <w:r w:rsidR="001A3241">
        <w:rPr>
          <w:rFonts w:eastAsia="Calibri" w:cstheme="minorHAnsi"/>
        </w:rPr>
        <w:t>Reservoir</w:t>
      </w:r>
      <w:r w:rsidR="006D6808">
        <w:rPr>
          <w:rFonts w:eastAsia="Calibri" w:cstheme="minorHAnsi"/>
        </w:rPr>
        <w:t xml:space="preserve"> or reserved waters</w:t>
      </w:r>
      <w:r w:rsidR="00DB7200">
        <w:rPr>
          <w:rFonts w:eastAsia="Calibri" w:cstheme="minorHAnsi"/>
        </w:rPr>
        <w:t>.</w:t>
      </w:r>
      <w:r w:rsidR="001B1668" w:rsidRPr="001B1668">
        <w:rPr>
          <w:rFonts w:eastAsia="Calibri" w:cstheme="minorHAnsi"/>
        </w:rPr>
        <w:t xml:space="preserve"> Active management modeling scenarios indicate seepage </w:t>
      </w:r>
      <w:r w:rsidR="00A341F7">
        <w:rPr>
          <w:rFonts w:eastAsia="Calibri" w:cstheme="minorHAnsi"/>
        </w:rPr>
        <w:t>c</w:t>
      </w:r>
      <w:r w:rsidR="001B1668" w:rsidRPr="001B1668">
        <w:rPr>
          <w:rFonts w:eastAsia="Calibri" w:cstheme="minorHAnsi"/>
        </w:rPr>
        <w:t>an be fully captured, mitigating any potential seepage impacts.</w:t>
      </w:r>
    </w:p>
    <w:p w14:paraId="11C757C4" w14:textId="528B15C5" w:rsidR="00171A01" w:rsidRDefault="005F77A1" w:rsidP="00027258">
      <w:pPr>
        <w:jc w:val="both"/>
        <w:rPr>
          <w:rFonts w:ascii="Calibri" w:hAnsi="Calibri" w:cs="Calibri"/>
        </w:rPr>
      </w:pPr>
      <w:r>
        <w:rPr>
          <w:rFonts w:eastAsia="Calibri" w:cstheme="minorHAnsi"/>
        </w:rPr>
        <w:t xml:space="preserve">Once the </w:t>
      </w:r>
      <w:r w:rsidR="006D0BDA" w:rsidRPr="00534A70">
        <w:rPr>
          <w:rFonts w:ascii="Calibri" w:hAnsi="Calibri" w:cs="Calibri"/>
        </w:rPr>
        <w:t>E</w:t>
      </w:r>
      <w:r w:rsidR="001A70B5">
        <w:rPr>
          <w:rFonts w:ascii="Calibri" w:hAnsi="Calibri" w:cs="Calibri"/>
        </w:rPr>
        <w:t>AA</w:t>
      </w:r>
      <w:r w:rsidR="006D0BDA" w:rsidRPr="00534A70">
        <w:rPr>
          <w:rFonts w:ascii="Calibri" w:hAnsi="Calibri" w:cs="Calibri"/>
        </w:rPr>
        <w:t xml:space="preserve"> Reservoir</w:t>
      </w:r>
      <w:r>
        <w:rPr>
          <w:rFonts w:ascii="Calibri" w:hAnsi="Calibri" w:cs="Calibri"/>
        </w:rPr>
        <w:t xml:space="preserve"> is operational</w:t>
      </w:r>
      <w:r w:rsidR="006D0BDA" w:rsidRPr="00534A70">
        <w:rPr>
          <w:rFonts w:ascii="Calibri" w:hAnsi="Calibri" w:cs="Calibri"/>
        </w:rPr>
        <w:t xml:space="preserve"> </w:t>
      </w:r>
      <w:r w:rsidR="00027258">
        <w:rPr>
          <w:rFonts w:ascii="Calibri" w:hAnsi="Calibri" w:cs="Calibri"/>
        </w:rPr>
        <w:t xml:space="preserve">with </w:t>
      </w:r>
      <w:r w:rsidR="006531CD">
        <w:rPr>
          <w:rFonts w:ascii="Calibri" w:hAnsi="Calibri" w:cs="Calibri"/>
        </w:rPr>
        <w:t xml:space="preserve">reserved </w:t>
      </w:r>
      <w:r w:rsidR="006531CD" w:rsidRPr="00534A70">
        <w:rPr>
          <w:rFonts w:ascii="Calibri" w:hAnsi="Calibri" w:cs="Calibri"/>
        </w:rPr>
        <w:t>water discharged through the S-624, S-625, and S-626 structures</w:t>
      </w:r>
      <w:r>
        <w:rPr>
          <w:rFonts w:ascii="Calibri" w:hAnsi="Calibri" w:cs="Calibri"/>
        </w:rPr>
        <w:t>, the</w:t>
      </w:r>
      <w:r w:rsidR="00ED752B">
        <w:rPr>
          <w:rFonts w:ascii="Calibri" w:hAnsi="Calibri" w:cs="Calibri"/>
        </w:rPr>
        <w:t>re would be no</w:t>
      </w:r>
      <w:r w:rsidR="006D0BDA" w:rsidRPr="00534A70">
        <w:rPr>
          <w:rFonts w:ascii="Calibri" w:hAnsi="Calibri" w:cs="Calibri"/>
        </w:rPr>
        <w:t xml:space="preserve"> change or shift </w:t>
      </w:r>
      <w:r w:rsidR="00A341F7">
        <w:rPr>
          <w:rFonts w:ascii="Calibri" w:hAnsi="Calibri" w:cs="Calibri"/>
        </w:rPr>
        <w:t xml:space="preserve">in </w:t>
      </w:r>
      <w:r w:rsidR="006D0BDA" w:rsidRPr="00534A70">
        <w:rPr>
          <w:rFonts w:ascii="Calibri" w:hAnsi="Calibri" w:cs="Calibri"/>
        </w:rPr>
        <w:t xml:space="preserve">the sources of water available to existing legal users, and </w:t>
      </w:r>
      <w:r w:rsidR="00296170">
        <w:rPr>
          <w:rFonts w:ascii="Calibri" w:hAnsi="Calibri" w:cs="Calibri"/>
        </w:rPr>
        <w:t xml:space="preserve">there </w:t>
      </w:r>
      <w:r w:rsidR="00D2607E">
        <w:rPr>
          <w:rFonts w:ascii="Calibri" w:hAnsi="Calibri" w:cs="Calibri"/>
        </w:rPr>
        <w:t xml:space="preserve">would be no </w:t>
      </w:r>
      <w:r w:rsidR="006D0BDA" w:rsidRPr="00534A70">
        <w:rPr>
          <w:rFonts w:ascii="Calibri" w:hAnsi="Calibri" w:cs="Calibri"/>
        </w:rPr>
        <w:t>constrain</w:t>
      </w:r>
      <w:r w:rsidR="005412D7">
        <w:rPr>
          <w:rFonts w:ascii="Calibri" w:hAnsi="Calibri" w:cs="Calibri"/>
        </w:rPr>
        <w:t>t</w:t>
      </w:r>
      <w:r w:rsidR="006C3492">
        <w:rPr>
          <w:rFonts w:ascii="Calibri" w:hAnsi="Calibri" w:cs="Calibri"/>
        </w:rPr>
        <w:t xml:space="preserve"> on</w:t>
      </w:r>
      <w:r w:rsidR="006D0BDA" w:rsidRPr="00534A70">
        <w:rPr>
          <w:rFonts w:ascii="Calibri" w:hAnsi="Calibri" w:cs="Calibri"/>
        </w:rPr>
        <w:t xml:space="preserve"> supp</w:t>
      </w:r>
      <w:r w:rsidR="00D2607E">
        <w:rPr>
          <w:rFonts w:ascii="Calibri" w:hAnsi="Calibri" w:cs="Calibri"/>
        </w:rPr>
        <w:t>lies</w:t>
      </w:r>
      <w:r w:rsidR="006D0BDA" w:rsidRPr="00534A70">
        <w:rPr>
          <w:rFonts w:ascii="Calibri" w:hAnsi="Calibri" w:cs="Calibri"/>
        </w:rPr>
        <w:t xml:space="preserve"> for potential new consumptive uses.</w:t>
      </w:r>
      <w:r w:rsidR="00EA5AC5">
        <w:rPr>
          <w:rFonts w:ascii="Calibri" w:hAnsi="Calibri" w:cs="Calibri"/>
        </w:rPr>
        <w:t xml:space="preserve"> </w:t>
      </w:r>
      <w:r w:rsidR="006D0BDA" w:rsidRPr="00534A70">
        <w:rPr>
          <w:rFonts w:ascii="Calibri" w:hAnsi="Calibri" w:cs="Calibri"/>
        </w:rPr>
        <w:t xml:space="preserve">Upstream of the </w:t>
      </w:r>
      <w:r w:rsidR="00380D1E">
        <w:rPr>
          <w:rFonts w:ascii="Calibri" w:hAnsi="Calibri" w:cs="Calibri"/>
        </w:rPr>
        <w:t>r</w:t>
      </w:r>
      <w:r w:rsidR="006D0BDA" w:rsidRPr="00534A70">
        <w:rPr>
          <w:rFonts w:ascii="Calibri" w:hAnsi="Calibri" w:cs="Calibri"/>
        </w:rPr>
        <w:t xml:space="preserve">eservoir, the current water supply level of service for the Lake Okeechobee Service Area (LOSA) </w:t>
      </w:r>
      <w:r w:rsidR="00391A7D">
        <w:rPr>
          <w:rFonts w:ascii="Calibri" w:hAnsi="Calibri" w:cs="Calibri"/>
        </w:rPr>
        <w:t>would</w:t>
      </w:r>
      <w:r w:rsidR="006D0BDA" w:rsidRPr="00534A70">
        <w:rPr>
          <w:rFonts w:ascii="Calibri" w:hAnsi="Calibri" w:cs="Calibri"/>
        </w:rPr>
        <w:t xml:space="preserve"> be preserved through implementation of the project and </w:t>
      </w:r>
      <w:r w:rsidR="00676336">
        <w:rPr>
          <w:rFonts w:ascii="Calibri" w:hAnsi="Calibri" w:cs="Calibri"/>
        </w:rPr>
        <w:t>would</w:t>
      </w:r>
      <w:r w:rsidR="006D0BDA" w:rsidRPr="00534A70">
        <w:rPr>
          <w:rFonts w:ascii="Calibri" w:hAnsi="Calibri" w:cs="Calibri"/>
        </w:rPr>
        <w:t xml:space="preserve"> not be changed by the water reservation. Downstream of the </w:t>
      </w:r>
      <w:r w:rsidR="00380D1E">
        <w:rPr>
          <w:rFonts w:ascii="Calibri" w:hAnsi="Calibri" w:cs="Calibri"/>
        </w:rPr>
        <w:t>r</w:t>
      </w:r>
      <w:r w:rsidR="006D0BDA" w:rsidRPr="00534A70">
        <w:rPr>
          <w:rFonts w:ascii="Calibri" w:hAnsi="Calibri" w:cs="Calibri"/>
        </w:rPr>
        <w:t xml:space="preserve">eservoir, </w:t>
      </w:r>
      <w:r w:rsidR="00606AB3">
        <w:rPr>
          <w:rFonts w:ascii="Calibri" w:hAnsi="Calibri" w:cs="Calibri"/>
        </w:rPr>
        <w:t xml:space="preserve">water </w:t>
      </w:r>
      <w:r w:rsidR="008A2B6E">
        <w:rPr>
          <w:rFonts w:ascii="Calibri" w:hAnsi="Calibri" w:cs="Calibri"/>
        </w:rPr>
        <w:t>exiting the</w:t>
      </w:r>
      <w:r w:rsidR="00606AB3">
        <w:rPr>
          <w:rFonts w:ascii="Calibri" w:hAnsi="Calibri" w:cs="Calibri"/>
        </w:rPr>
        <w:t xml:space="preserve"> structures identified above would</w:t>
      </w:r>
      <w:r w:rsidR="008A2B6E">
        <w:rPr>
          <w:rFonts w:ascii="Calibri" w:hAnsi="Calibri" w:cs="Calibri"/>
        </w:rPr>
        <w:t xml:space="preserve"> immediately be discharged to </w:t>
      </w:r>
      <w:r w:rsidR="003338EA">
        <w:rPr>
          <w:rFonts w:ascii="Calibri" w:hAnsi="Calibri" w:cs="Calibri"/>
        </w:rPr>
        <w:t>protected basins with</w:t>
      </w:r>
      <w:r w:rsidR="00BD5945">
        <w:rPr>
          <w:rFonts w:ascii="Calibri" w:hAnsi="Calibri" w:cs="Calibri"/>
        </w:rPr>
        <w:t>in</w:t>
      </w:r>
      <w:r w:rsidR="003338EA">
        <w:rPr>
          <w:rFonts w:ascii="Calibri" w:hAnsi="Calibri" w:cs="Calibri"/>
        </w:rPr>
        <w:t xml:space="preserve"> the Central </w:t>
      </w:r>
      <w:r w:rsidR="004459E7">
        <w:rPr>
          <w:rFonts w:ascii="Calibri" w:hAnsi="Calibri" w:cs="Calibri"/>
        </w:rPr>
        <w:t>Everglades</w:t>
      </w:r>
      <w:r w:rsidR="003338EA">
        <w:rPr>
          <w:rFonts w:ascii="Calibri" w:hAnsi="Calibri" w:cs="Calibri"/>
        </w:rPr>
        <w:t>.</w:t>
      </w:r>
      <w:r w:rsidR="004459E7">
        <w:rPr>
          <w:rFonts w:ascii="Calibri" w:hAnsi="Calibri" w:cs="Calibri"/>
        </w:rPr>
        <w:t xml:space="preserve"> </w:t>
      </w:r>
      <w:r w:rsidR="004459E7" w:rsidRPr="00534A70">
        <w:rPr>
          <w:rFonts w:ascii="Calibri" w:hAnsi="Calibri" w:cs="Calibri"/>
        </w:rPr>
        <w:t xml:space="preserve">Water within these waterbodies is already protected from consumptive uses under the Lower East Coast Regional Water Availability Rule contained in Subsection 3.2.1.E of the </w:t>
      </w:r>
      <w:r w:rsidR="004459E7" w:rsidRPr="00534A70">
        <w:rPr>
          <w:rFonts w:ascii="Calibri" w:hAnsi="Calibri" w:cs="Calibri"/>
          <w:i/>
          <w:iCs/>
        </w:rPr>
        <w:t>Applicant’s Handbook for Water Use Permit Applications in the South Florida Water Management District</w:t>
      </w:r>
      <w:r w:rsidR="0069205F">
        <w:rPr>
          <w:rFonts w:ascii="Calibri" w:hAnsi="Calibri" w:cs="Calibri"/>
          <w:i/>
          <w:iCs/>
        </w:rPr>
        <w:t xml:space="preserve"> </w:t>
      </w:r>
      <w:r w:rsidR="0069205F" w:rsidRPr="006C4389">
        <w:rPr>
          <w:rFonts w:ascii="Calibri" w:hAnsi="Calibri" w:cs="Calibri"/>
        </w:rPr>
        <w:t>(SFWMD 2015)</w:t>
      </w:r>
      <w:r w:rsidR="004459E7" w:rsidRPr="00534A70">
        <w:rPr>
          <w:rFonts w:ascii="Calibri" w:hAnsi="Calibri" w:cs="Calibri"/>
          <w:i/>
          <w:iCs/>
        </w:rPr>
        <w:t xml:space="preserve">. </w:t>
      </w:r>
      <w:r w:rsidR="006D0BDA" w:rsidRPr="00534A70">
        <w:rPr>
          <w:rFonts w:ascii="Calibri" w:hAnsi="Calibri" w:cs="Calibri"/>
        </w:rPr>
        <w:t xml:space="preserve"> </w:t>
      </w:r>
    </w:p>
    <w:p w14:paraId="4E615BDD" w14:textId="04D291D9" w:rsidR="00113A43" w:rsidRDefault="001B1668" w:rsidP="00113A43">
      <w:r>
        <w:t>While no negative economic impacts of the proposed rule have been identified, t</w:t>
      </w:r>
      <w:r w:rsidR="003C04F8" w:rsidRPr="003C04F8">
        <w:t xml:space="preserve">he environmental </w:t>
      </w:r>
      <w:proofErr w:type="spellStart"/>
      <w:r>
        <w:t>affects</w:t>
      </w:r>
      <w:proofErr w:type="spellEnd"/>
      <w:r>
        <w:t xml:space="preserve"> of</w:t>
      </w:r>
      <w:r w:rsidR="003C04F8" w:rsidRPr="003C04F8">
        <w:t xml:space="preserve"> EAA Reservoir and its proposed reservation rule will result in substantial economic benefits for the local and regional economy. </w:t>
      </w:r>
      <w:r w:rsidRPr="001B1668">
        <w:t xml:space="preserve">The EAA Reservoir will store regulatory releases from Lake Okeechobee and EAA basin runoff, thereby substantially decreasing the frequency and intensity of harmful discharges to the </w:t>
      </w:r>
      <w:r w:rsidR="00E61C7F">
        <w:t>northern estuaries (</w:t>
      </w:r>
      <w:r w:rsidRPr="001B1668">
        <w:t>St. Lucie and Caloosahatchee Estuaries</w:t>
      </w:r>
      <w:r w:rsidR="00E61C7F">
        <w:t>)</w:t>
      </w:r>
      <w:r w:rsidRPr="001B1668">
        <w:t xml:space="preserve">.  The EAA Reservoir will also deliver an average annual flow of 370,000 acre-feet above the existing flows to the Central Everglades, benefiting fish and wildlife. The increased water flows to the Central Everglades </w:t>
      </w:r>
      <w:r w:rsidR="00E61C7F">
        <w:t>are</w:t>
      </w:r>
      <w:r w:rsidRPr="001B1668">
        <w:t xml:space="preserve"> essential to meet the restoration goals described in </w:t>
      </w:r>
      <w:r w:rsidR="00E61C7F">
        <w:t>the Comprehensive Everglades Restoration Plan (</w:t>
      </w:r>
      <w:r w:rsidRPr="001B1668">
        <w:t>CERP</w:t>
      </w:r>
      <w:r w:rsidR="00E61C7F">
        <w:t>)</w:t>
      </w:r>
      <w:r w:rsidRPr="001B1668">
        <w:t xml:space="preserve">.  It will also enhance regional water supplies for existing legal users, which in turn, </w:t>
      </w:r>
      <w:r w:rsidR="00E61C7F">
        <w:t xml:space="preserve">will </w:t>
      </w:r>
      <w:r w:rsidRPr="001B1668">
        <w:t>increase the amount of water available to meet environmental needs. The proposed water reservation rule will protect the water needed for fish and wildlife as required by CERP.</w:t>
      </w:r>
      <w:r>
        <w:t xml:space="preserve"> </w:t>
      </w:r>
      <w:r w:rsidR="003C04F8" w:rsidRPr="003C04F8">
        <w:t xml:space="preserve">A study published in 2014 in the journal </w:t>
      </w:r>
      <w:r w:rsidR="00D13972">
        <w:t xml:space="preserve">of </w:t>
      </w:r>
      <w:r w:rsidR="003C04F8" w:rsidRPr="003C04F8">
        <w:t xml:space="preserve">Ecological Economics </w:t>
      </w:r>
      <w:r w:rsidR="002F7F44">
        <w:t>(</w:t>
      </w:r>
      <w:r w:rsidR="002F7F44" w:rsidRPr="002F7F44">
        <w:rPr>
          <w:rFonts w:cstheme="minorHAnsi"/>
        </w:rPr>
        <w:t>Richardson</w:t>
      </w:r>
      <w:r w:rsidR="002F7F44">
        <w:rPr>
          <w:rFonts w:cstheme="minorHAnsi"/>
        </w:rPr>
        <w:t xml:space="preserve"> et al., 2014) </w:t>
      </w:r>
      <w:r w:rsidR="003C04F8" w:rsidRPr="003C04F8">
        <w:t>assessed the potential economic value of the ecosystem services of the C</w:t>
      </w:r>
      <w:r w:rsidR="00FD1FA9">
        <w:t xml:space="preserve">entral </w:t>
      </w:r>
      <w:r w:rsidR="003C04F8" w:rsidRPr="003C04F8">
        <w:t>E</w:t>
      </w:r>
      <w:r w:rsidR="00FD1FA9">
        <w:t xml:space="preserve">verglades </w:t>
      </w:r>
      <w:r w:rsidR="003C04F8" w:rsidRPr="003C04F8">
        <w:t>P</w:t>
      </w:r>
      <w:r w:rsidR="00FD1FA9">
        <w:t xml:space="preserve">lanning </w:t>
      </w:r>
      <w:r w:rsidR="003C04F8" w:rsidRPr="003C04F8">
        <w:t>P</w:t>
      </w:r>
      <w:r w:rsidR="00FD1FA9">
        <w:t>roject (CEPP)</w:t>
      </w:r>
      <w:r w:rsidR="0094196B">
        <w:t xml:space="preserve"> of CERP</w:t>
      </w:r>
      <w:r w:rsidR="003C04F8" w:rsidRPr="003C04F8">
        <w:t>, of which the EAA Reservoir is a principle component. The potential future benefits of CEPP were estimated to be approximately $1.8 billion. This estimate was only for a subset of the total array of ecosystem services that will be provided by the EAA Reservoir, its proposed rule, and CEPP. The total economic value to society is likely much greater than the $1.8 billion identified in th</w:t>
      </w:r>
      <w:r w:rsidR="00C375C8">
        <w:t>is</w:t>
      </w:r>
      <w:r w:rsidR="003C04F8" w:rsidRPr="003C04F8">
        <w:t xml:space="preserve"> study.</w:t>
      </w:r>
    </w:p>
    <w:p w14:paraId="68F81A3B" w14:textId="627BF3DC" w:rsidR="0077663A" w:rsidRPr="00C55791" w:rsidRDefault="0077663A" w:rsidP="00C55791">
      <w:pPr>
        <w:pStyle w:val="krwrbodytext"/>
        <w:rPr>
          <w:rFonts w:ascii="Arial" w:hAnsi="Arial"/>
          <w:bCs/>
          <w:kern w:val="32"/>
          <w:highlight w:val="yellow"/>
        </w:rPr>
      </w:pPr>
      <w:r w:rsidRPr="00FD698F">
        <w:rPr>
          <w:b/>
          <w:bCs/>
          <w:sz w:val="28"/>
          <w:szCs w:val="28"/>
        </w:rPr>
        <w:t>Number of Individuals and Entities Required to Comply</w:t>
      </w:r>
    </w:p>
    <w:p w14:paraId="23AA3D36" w14:textId="76DE2738" w:rsidR="00FD698F" w:rsidRDefault="00A939DB" w:rsidP="135F76DC">
      <w:r>
        <w:t xml:space="preserve">No individuals or entities </w:t>
      </w:r>
      <w:r w:rsidR="005F3023">
        <w:t>will</w:t>
      </w:r>
      <w:r w:rsidR="00531349">
        <w:t xml:space="preserve"> </w:t>
      </w:r>
      <w:r w:rsidR="0094196B">
        <w:t xml:space="preserve">be </w:t>
      </w:r>
      <w:r>
        <w:t xml:space="preserve">required to comply with the </w:t>
      </w:r>
      <w:r w:rsidR="00A61ED9">
        <w:t>proposed</w:t>
      </w:r>
      <w:r>
        <w:t xml:space="preserve"> rule</w:t>
      </w:r>
      <w:r w:rsidR="00A61ED9">
        <w:t xml:space="preserve"> because </w:t>
      </w:r>
      <w:r w:rsidR="0094196B">
        <w:t xml:space="preserve">of </w:t>
      </w:r>
      <w:r w:rsidR="00A61ED9">
        <w:t xml:space="preserve">its prospective nature as described above. </w:t>
      </w:r>
      <w:r w:rsidR="00531349">
        <w:t xml:space="preserve">Furthermore, </w:t>
      </w:r>
      <w:r w:rsidR="00F83C05">
        <w:t>when the EAA reservoir is operation</w:t>
      </w:r>
      <w:r w:rsidR="00952024">
        <w:t>al</w:t>
      </w:r>
      <w:r w:rsidR="0041542D">
        <w:t>,</w:t>
      </w:r>
      <w:r w:rsidR="00F83C05">
        <w:t xml:space="preserve"> all </w:t>
      </w:r>
      <w:r w:rsidR="00531349">
        <w:t>reserved water will be discharged directly to protected basins</w:t>
      </w:r>
      <w:r w:rsidR="005C0FF4">
        <w:t xml:space="preserve"> and would be protected by existing regulation</w:t>
      </w:r>
      <w:r w:rsidR="00952024">
        <w:t>s</w:t>
      </w:r>
      <w:r w:rsidR="00531349">
        <w:t>.</w:t>
      </w:r>
    </w:p>
    <w:p w14:paraId="0D9A4A26" w14:textId="75DC9484" w:rsidR="001B1668" w:rsidRDefault="005F353A" w:rsidP="135F76DC">
      <w:r>
        <w:t xml:space="preserve">Stakeholders who submitted </w:t>
      </w:r>
      <w:r w:rsidR="003319AA">
        <w:t xml:space="preserve">LCRAs expressed concerns that the </w:t>
      </w:r>
      <w:r w:rsidR="0031110E">
        <w:t xml:space="preserve">earlier version of the rule published </w:t>
      </w:r>
      <w:r w:rsidR="00C123F5">
        <w:t xml:space="preserve">on October 16, 2020 would </w:t>
      </w:r>
      <w:r w:rsidR="009E554C">
        <w:t xml:space="preserve">affect individuals and entities within LOSA and </w:t>
      </w:r>
      <w:r w:rsidR="004F2A96">
        <w:t xml:space="preserve">the Lower East Coast (LEC). The </w:t>
      </w:r>
      <w:r w:rsidR="004F2A96">
        <w:lastRenderedPageBreak/>
        <w:t>revised rule has address</w:t>
      </w:r>
      <w:r w:rsidR="009966AC">
        <w:t>ed</w:t>
      </w:r>
      <w:r w:rsidR="004F2A96">
        <w:t xml:space="preserve"> these concerns</w:t>
      </w:r>
      <w:r w:rsidR="00867ADD">
        <w:t xml:space="preserve">, but </w:t>
      </w:r>
      <w:r w:rsidR="005570B0">
        <w:t xml:space="preserve">an </w:t>
      </w:r>
      <w:r w:rsidR="00867ADD">
        <w:t xml:space="preserve">analysis of the recent trends </w:t>
      </w:r>
      <w:r w:rsidR="001D689B">
        <w:t>in surface water permitting in these areas was</w:t>
      </w:r>
      <w:r w:rsidR="005570B0">
        <w:t xml:space="preserve"> still</w:t>
      </w:r>
      <w:r w:rsidR="001D689B">
        <w:t xml:space="preserve"> completed</w:t>
      </w:r>
      <w:r w:rsidR="001564D9">
        <w:t>.</w:t>
      </w:r>
      <w:r w:rsidR="004667D8">
        <w:t xml:space="preserve"> </w:t>
      </w:r>
      <w:r w:rsidR="002A41DC" w:rsidRPr="002A41DC">
        <w:t xml:space="preserve">From 2015 </w:t>
      </w:r>
      <w:r w:rsidR="00BA1C41">
        <w:t>to</w:t>
      </w:r>
      <w:r w:rsidR="002A41DC" w:rsidRPr="002A41DC">
        <w:t xml:space="preserve"> 2020, the District received </w:t>
      </w:r>
      <w:r w:rsidR="002F7F44" w:rsidRPr="000228E3">
        <w:t>81</w:t>
      </w:r>
      <w:r w:rsidR="000228E3">
        <w:t xml:space="preserve"> permit</w:t>
      </w:r>
      <w:r w:rsidR="002A41DC" w:rsidRPr="002A41DC">
        <w:t xml:space="preserve"> applications for increases in surface water sources subject to the LOSA </w:t>
      </w:r>
      <w:r w:rsidR="002A41DC" w:rsidRPr="000228E3">
        <w:t>Rule</w:t>
      </w:r>
      <w:r w:rsidR="00163ADA" w:rsidRPr="000228E3">
        <w:t xml:space="preserve"> </w:t>
      </w:r>
      <w:r w:rsidR="00BA1C41" w:rsidRPr="000228E3">
        <w:t xml:space="preserve">(figure </w:t>
      </w:r>
      <w:r w:rsidR="000228E3" w:rsidRPr="000228E3">
        <w:t>1</w:t>
      </w:r>
      <w:r w:rsidR="00BA1C41" w:rsidRPr="000228E3">
        <w:t>)</w:t>
      </w:r>
      <w:r w:rsidR="002A41DC" w:rsidRPr="000228E3">
        <w:t xml:space="preserve">. </w:t>
      </w:r>
      <w:r w:rsidR="002A41DC" w:rsidRPr="002A41DC">
        <w:t xml:space="preserve">From 2015 </w:t>
      </w:r>
      <w:r w:rsidR="00BA1C41">
        <w:t>to</w:t>
      </w:r>
      <w:r w:rsidR="002A41DC" w:rsidRPr="002A41DC">
        <w:t xml:space="preserve"> 2020, the District received </w:t>
      </w:r>
      <w:r w:rsidR="000228E3">
        <w:t>365</w:t>
      </w:r>
      <w:r w:rsidR="002A41DC" w:rsidRPr="002A41DC">
        <w:t xml:space="preserve"> </w:t>
      </w:r>
      <w:r w:rsidR="000228E3">
        <w:t xml:space="preserve">permit </w:t>
      </w:r>
      <w:r w:rsidR="002A41DC" w:rsidRPr="002A41DC">
        <w:t>applications within the L</w:t>
      </w:r>
      <w:r w:rsidR="00703D79">
        <w:t xml:space="preserve">EC (figure </w:t>
      </w:r>
      <w:r w:rsidR="000228E3">
        <w:t>2</w:t>
      </w:r>
      <w:r w:rsidR="00703D79">
        <w:t>)</w:t>
      </w:r>
      <w:r w:rsidR="002A41DC" w:rsidRPr="002A41DC">
        <w:t xml:space="preserve">. Of the </w:t>
      </w:r>
      <w:r w:rsidR="000228E3">
        <w:t>365</w:t>
      </w:r>
      <w:r w:rsidR="002A41DC" w:rsidRPr="002A41DC">
        <w:t xml:space="preserve"> received, none of the applicants sought increases in direct surface water or indirect groundwater allocation without also identifying acceptable sources to meet those increased withdrawals.</w:t>
      </w:r>
    </w:p>
    <w:p w14:paraId="27936852" w14:textId="7A892080" w:rsidR="009303F5" w:rsidRPr="00FD698F" w:rsidRDefault="0077663A" w:rsidP="135F76DC">
      <w:pPr>
        <w:rPr>
          <w:b/>
          <w:bCs/>
          <w:sz w:val="28"/>
          <w:szCs w:val="28"/>
        </w:rPr>
      </w:pPr>
      <w:r w:rsidRPr="00FD698F">
        <w:rPr>
          <w:b/>
          <w:bCs/>
          <w:sz w:val="28"/>
          <w:szCs w:val="28"/>
        </w:rPr>
        <w:t xml:space="preserve">Costs to the District and to any </w:t>
      </w:r>
      <w:r w:rsidR="00FD698F" w:rsidRPr="00FD698F">
        <w:rPr>
          <w:b/>
          <w:bCs/>
          <w:sz w:val="28"/>
          <w:szCs w:val="28"/>
        </w:rPr>
        <w:t>O</w:t>
      </w:r>
      <w:r w:rsidRPr="00FD698F">
        <w:rPr>
          <w:b/>
          <w:bCs/>
          <w:sz w:val="28"/>
          <w:szCs w:val="28"/>
        </w:rPr>
        <w:t>ther Local Government Entities</w:t>
      </w:r>
    </w:p>
    <w:p w14:paraId="0B788468" w14:textId="2ABC87BC" w:rsidR="002A41DC" w:rsidRPr="00D314A8" w:rsidRDefault="00CD0F62" w:rsidP="002A41DC">
      <w:pPr>
        <w:rPr>
          <w:color w:val="000000" w:themeColor="text1"/>
        </w:rPr>
      </w:pPr>
      <w:r>
        <w:t xml:space="preserve">The </w:t>
      </w:r>
      <w:r w:rsidR="002F7F44">
        <w:t>proposed reservation rule</w:t>
      </w:r>
      <w:r w:rsidR="00DE2E73">
        <w:t>s</w:t>
      </w:r>
      <w:r w:rsidR="002F7F44">
        <w:t xml:space="preserve"> </w:t>
      </w:r>
      <w:r w:rsidR="00D33A06" w:rsidRPr="00D314A8">
        <w:rPr>
          <w:color w:val="000000" w:themeColor="text1"/>
        </w:rPr>
        <w:t>do not impose additional regulatory requirements or penalties that must be enforced by the District.</w:t>
      </w:r>
      <w:r w:rsidR="00D33A06">
        <w:rPr>
          <w:color w:val="000000" w:themeColor="text1"/>
        </w:rPr>
        <w:t xml:space="preserve"> </w:t>
      </w:r>
      <w:r w:rsidR="002A41DC" w:rsidRPr="00D314A8">
        <w:rPr>
          <w:color w:val="000000" w:themeColor="text1"/>
        </w:rPr>
        <w:t xml:space="preserve">If any costs arise as a result of the prospective reservation, the District intends to implement the </w:t>
      </w:r>
      <w:r w:rsidR="002F7F44">
        <w:t xml:space="preserve">proposed reservation rule </w:t>
      </w:r>
      <w:r w:rsidR="002A41DC" w:rsidRPr="00D314A8">
        <w:rPr>
          <w:color w:val="000000" w:themeColor="text1"/>
        </w:rPr>
        <w:t xml:space="preserve">within its current workload and with existing staff. The proposed rule will not affect and other government entities. </w:t>
      </w:r>
    </w:p>
    <w:p w14:paraId="6B48B634" w14:textId="22FD1220" w:rsidR="0077663A" w:rsidRPr="00FD698F" w:rsidRDefault="006D0BDA" w:rsidP="135F76DC">
      <w:pPr>
        <w:rPr>
          <w:b/>
          <w:bCs/>
          <w:sz w:val="28"/>
          <w:szCs w:val="28"/>
        </w:rPr>
      </w:pPr>
      <w:r w:rsidRPr="00FD698F">
        <w:rPr>
          <w:b/>
          <w:bCs/>
          <w:sz w:val="28"/>
          <w:szCs w:val="28"/>
        </w:rPr>
        <w:t xml:space="preserve">Transactional </w:t>
      </w:r>
      <w:r w:rsidR="002A41DC">
        <w:rPr>
          <w:b/>
          <w:bCs/>
          <w:sz w:val="28"/>
          <w:szCs w:val="28"/>
        </w:rPr>
        <w:t>Costs</w:t>
      </w:r>
      <w:r w:rsidRPr="00FD698F">
        <w:rPr>
          <w:b/>
          <w:bCs/>
          <w:sz w:val="28"/>
          <w:szCs w:val="28"/>
        </w:rPr>
        <w:t xml:space="preserve"> of Proposed Rule</w:t>
      </w:r>
    </w:p>
    <w:p w14:paraId="7B8858E6" w14:textId="04FE34C8" w:rsidR="003C1F2A" w:rsidRPr="00D314A8" w:rsidRDefault="00FD2CD8" w:rsidP="001B1668">
      <w:pPr>
        <w:rPr>
          <w:color w:val="000000" w:themeColor="text1"/>
        </w:rPr>
      </w:pPr>
      <w:r w:rsidRPr="00D314A8">
        <w:t>No new transaction</w:t>
      </w:r>
      <w:r w:rsidR="007C3A39">
        <w:t>al</w:t>
      </w:r>
      <w:r w:rsidRPr="00D314A8">
        <w:t xml:space="preserve"> </w:t>
      </w:r>
      <w:r w:rsidR="00E12456">
        <w:t xml:space="preserve">costs are anticipated from the proposed rule. </w:t>
      </w:r>
      <w:r w:rsidRPr="00D314A8">
        <w:rPr>
          <w:color w:val="000000" w:themeColor="text1"/>
        </w:rPr>
        <w:t xml:space="preserve">The proposed </w:t>
      </w:r>
      <w:r w:rsidR="00DB368E">
        <w:rPr>
          <w:color w:val="000000" w:themeColor="text1"/>
        </w:rPr>
        <w:t xml:space="preserve">EAA </w:t>
      </w:r>
      <w:r w:rsidR="000B7C19">
        <w:rPr>
          <w:color w:val="000000" w:themeColor="text1"/>
        </w:rPr>
        <w:t xml:space="preserve">rule </w:t>
      </w:r>
      <w:r w:rsidRPr="00D314A8">
        <w:rPr>
          <w:color w:val="000000" w:themeColor="text1"/>
        </w:rPr>
        <w:t xml:space="preserve">amendment does not require existing permittees </w:t>
      </w:r>
      <w:r w:rsidR="007C3A39">
        <w:rPr>
          <w:color w:val="000000" w:themeColor="text1"/>
        </w:rPr>
        <w:t xml:space="preserve">to </w:t>
      </w:r>
      <w:r w:rsidRPr="00D314A8">
        <w:rPr>
          <w:color w:val="000000" w:themeColor="text1"/>
        </w:rPr>
        <w:t xml:space="preserve">renew their permits </w:t>
      </w:r>
      <w:r w:rsidR="000C400A">
        <w:rPr>
          <w:color w:val="000000" w:themeColor="text1"/>
        </w:rPr>
        <w:t>or meet any additional criteria to renew their consumptive use permits</w:t>
      </w:r>
      <w:r w:rsidR="00960A31">
        <w:rPr>
          <w:color w:val="000000" w:themeColor="text1"/>
        </w:rPr>
        <w:t xml:space="preserve">, </w:t>
      </w:r>
      <w:r w:rsidR="007C3A39">
        <w:rPr>
          <w:color w:val="000000" w:themeColor="text1"/>
        </w:rPr>
        <w:t>n</w:t>
      </w:r>
      <w:r w:rsidRPr="00D314A8">
        <w:rPr>
          <w:color w:val="000000" w:themeColor="text1"/>
        </w:rPr>
        <w:t xml:space="preserve">or </w:t>
      </w:r>
      <w:r w:rsidR="007C3A39">
        <w:rPr>
          <w:color w:val="000000" w:themeColor="text1"/>
        </w:rPr>
        <w:t xml:space="preserve">require </w:t>
      </w:r>
      <w:r w:rsidRPr="00D314A8">
        <w:rPr>
          <w:color w:val="000000" w:themeColor="text1"/>
        </w:rPr>
        <w:t>applicants requesting new volumes of water to perform any additional analyses or meet any additional criteria to obtain their consumptive use permit</w:t>
      </w:r>
      <w:r w:rsidR="00960A31">
        <w:rPr>
          <w:color w:val="000000" w:themeColor="text1"/>
        </w:rPr>
        <w:t>s</w:t>
      </w:r>
      <w:r w:rsidRPr="00D314A8">
        <w:rPr>
          <w:color w:val="000000" w:themeColor="text1"/>
        </w:rPr>
        <w:t>.</w:t>
      </w:r>
    </w:p>
    <w:p w14:paraId="37CE4229" w14:textId="0E9D6451" w:rsidR="0077663A" w:rsidRPr="00FD698F" w:rsidRDefault="006D0BDA" w:rsidP="135F76DC">
      <w:pPr>
        <w:rPr>
          <w:b/>
          <w:bCs/>
          <w:sz w:val="28"/>
          <w:szCs w:val="28"/>
        </w:rPr>
      </w:pPr>
      <w:r w:rsidRPr="00FD698F">
        <w:rPr>
          <w:b/>
          <w:bCs/>
          <w:sz w:val="28"/>
          <w:szCs w:val="28"/>
        </w:rPr>
        <w:t>Impact on Small Businesses, Small Cities and Small Counties</w:t>
      </w:r>
    </w:p>
    <w:p w14:paraId="63A71D60" w14:textId="43D7F513" w:rsidR="000F691A" w:rsidRDefault="00A86352" w:rsidP="00EF79FC">
      <w:r>
        <w:t xml:space="preserve">No small businesses, small cities, or small counties will be negatively affected by the proposed rule. </w:t>
      </w:r>
    </w:p>
    <w:p w14:paraId="3908CB94" w14:textId="332220AF" w:rsidR="007B6E5B" w:rsidRPr="004E7B34" w:rsidRDefault="002E2237" w:rsidP="004E7B34">
      <w:pPr>
        <w:rPr>
          <w:b/>
          <w:bCs/>
          <w:sz w:val="28"/>
          <w:szCs w:val="28"/>
        </w:rPr>
      </w:pPr>
      <w:r>
        <w:rPr>
          <w:b/>
          <w:bCs/>
          <w:sz w:val="28"/>
          <w:szCs w:val="28"/>
        </w:rPr>
        <w:t>References</w:t>
      </w:r>
      <w:bookmarkStart w:id="1" w:name="_Hlk490650960"/>
    </w:p>
    <w:p w14:paraId="19B54B12" w14:textId="77777777" w:rsidR="00FE1A5E" w:rsidRDefault="002F7F44" w:rsidP="00E51A42">
      <w:pPr>
        <w:pStyle w:val="wsplitcited"/>
        <w:rPr>
          <w:rFonts w:asciiTheme="minorHAnsi" w:hAnsiTheme="minorHAnsi" w:cstheme="minorHAnsi"/>
        </w:rPr>
      </w:pPr>
      <w:r w:rsidRPr="002F7F44">
        <w:rPr>
          <w:rFonts w:asciiTheme="minorHAnsi" w:hAnsiTheme="minorHAnsi" w:cstheme="minorHAnsi"/>
        </w:rPr>
        <w:t xml:space="preserve">Richardson, Leslie &amp; Keefe, Kelly &amp; Huber, Christopher &amp; </w:t>
      </w:r>
      <w:proofErr w:type="spellStart"/>
      <w:r w:rsidRPr="002F7F44">
        <w:rPr>
          <w:rFonts w:asciiTheme="minorHAnsi" w:hAnsiTheme="minorHAnsi" w:cstheme="minorHAnsi"/>
        </w:rPr>
        <w:t>Racevskis</w:t>
      </w:r>
      <w:proofErr w:type="spellEnd"/>
      <w:r w:rsidRPr="002F7F44">
        <w:rPr>
          <w:rFonts w:asciiTheme="minorHAnsi" w:hAnsiTheme="minorHAnsi" w:cstheme="minorHAnsi"/>
        </w:rPr>
        <w:t xml:space="preserve">, Laila &amp; Reynolds, Gregg &amp; </w:t>
      </w:r>
      <w:proofErr w:type="spellStart"/>
      <w:r w:rsidRPr="002F7F44">
        <w:rPr>
          <w:rFonts w:asciiTheme="minorHAnsi" w:hAnsiTheme="minorHAnsi" w:cstheme="minorHAnsi"/>
        </w:rPr>
        <w:t>Thourot</w:t>
      </w:r>
      <w:proofErr w:type="spellEnd"/>
      <w:r w:rsidRPr="002F7F44">
        <w:rPr>
          <w:rFonts w:asciiTheme="minorHAnsi" w:hAnsiTheme="minorHAnsi" w:cstheme="minorHAnsi"/>
        </w:rPr>
        <w:t>, Scott &amp; Miller, Ian, 2014. "</w:t>
      </w:r>
      <w:r w:rsidRPr="00FE1A5E">
        <w:rPr>
          <w:rFonts w:asciiTheme="minorHAnsi" w:hAnsiTheme="minorHAnsi" w:cstheme="minorHAnsi"/>
          <w:i/>
          <w:iCs/>
        </w:rPr>
        <w:t>Assessing the value of the Central Everglades Planning Project (CEPP) in Everglades restoration: An ecosystem service approach</w:t>
      </w:r>
      <w:r w:rsidRPr="002F7F44">
        <w:rPr>
          <w:rFonts w:asciiTheme="minorHAnsi" w:hAnsiTheme="minorHAnsi" w:cstheme="minorHAnsi"/>
        </w:rPr>
        <w:t>," Ecological Economics, Elsevier, vol. 107(C), pages 366-377.</w:t>
      </w:r>
    </w:p>
    <w:p w14:paraId="43BBE3C8" w14:textId="5B0DA098" w:rsidR="0069205F" w:rsidRDefault="00F60BB7" w:rsidP="00E51A42">
      <w:pPr>
        <w:pStyle w:val="wsplitcited"/>
        <w:rPr>
          <w:rFonts w:asciiTheme="minorHAnsi" w:hAnsiTheme="minorHAnsi" w:cstheme="minorHAnsi"/>
        </w:rPr>
      </w:pPr>
      <w:r w:rsidRPr="00E51A42">
        <w:rPr>
          <w:rFonts w:asciiTheme="minorHAnsi" w:hAnsiTheme="minorHAnsi" w:cstheme="minorHAnsi"/>
        </w:rPr>
        <w:t xml:space="preserve">SFWMD. 2015. </w:t>
      </w:r>
      <w:bookmarkStart w:id="2" w:name="_Hlk490650983"/>
      <w:r w:rsidRPr="00E51A42">
        <w:rPr>
          <w:rFonts w:asciiTheme="minorHAnsi" w:hAnsiTheme="minorHAnsi" w:cstheme="minorHAnsi"/>
          <w:i/>
        </w:rPr>
        <w:t>Applicant’s Handbook for Water Use Permit Applications within the South Florida Water Management District</w:t>
      </w:r>
      <w:bookmarkEnd w:id="2"/>
      <w:r w:rsidRPr="00E51A42">
        <w:rPr>
          <w:rFonts w:asciiTheme="minorHAnsi" w:hAnsiTheme="minorHAnsi" w:cstheme="minorHAnsi"/>
          <w:i/>
        </w:rPr>
        <w:t xml:space="preserve">. </w:t>
      </w:r>
      <w:r w:rsidRPr="00E51A42">
        <w:rPr>
          <w:rFonts w:asciiTheme="minorHAnsi" w:hAnsiTheme="minorHAnsi" w:cstheme="minorHAnsi"/>
        </w:rPr>
        <w:t xml:space="preserve">South Florida Water Management District, West Palm Beach, FL. September 7, 2015. </w:t>
      </w:r>
      <w:bookmarkEnd w:id="1"/>
    </w:p>
    <w:p w14:paraId="4E15DE5C" w14:textId="01D71B29" w:rsidR="00762DE1" w:rsidRPr="00E57624" w:rsidRDefault="00762DE1" w:rsidP="00762DE1">
      <w:pPr>
        <w:pStyle w:val="wsplitcited"/>
        <w:jc w:val="left"/>
        <w:rPr>
          <w:rFonts w:asciiTheme="minorHAnsi" w:hAnsiTheme="minorHAnsi" w:cstheme="minorHAnsi"/>
        </w:rPr>
      </w:pPr>
      <w:r w:rsidRPr="00E57624">
        <w:rPr>
          <w:rFonts w:asciiTheme="minorHAnsi" w:hAnsiTheme="minorHAnsi" w:cstheme="minorHAnsi"/>
        </w:rPr>
        <w:t>SFWMD</w:t>
      </w:r>
      <w:r>
        <w:rPr>
          <w:rFonts w:asciiTheme="minorHAnsi" w:hAnsiTheme="minorHAnsi" w:cstheme="minorHAnsi"/>
        </w:rPr>
        <w:t xml:space="preserve">. 2020. </w:t>
      </w:r>
      <w:r w:rsidRPr="00E57624">
        <w:rPr>
          <w:rFonts w:asciiTheme="minorHAnsi" w:hAnsiTheme="minorHAnsi" w:cstheme="minorHAnsi"/>
          <w:i/>
          <w:iCs/>
        </w:rPr>
        <w:t>Technical Document to Support the Central Everglades Planning Project Everglades Agricultural Area Reservoir Water Reservation</w:t>
      </w:r>
      <w:r>
        <w:rPr>
          <w:rFonts w:asciiTheme="minorHAnsi" w:hAnsiTheme="minorHAnsi" w:cstheme="minorHAnsi"/>
        </w:rPr>
        <w:t xml:space="preserve">, Final </w:t>
      </w:r>
      <w:r w:rsidRPr="00E57624">
        <w:rPr>
          <w:rFonts w:asciiTheme="minorHAnsi" w:hAnsiTheme="minorHAnsi" w:cstheme="minorHAnsi"/>
        </w:rPr>
        <w:t xml:space="preserve">Report, September 2020. South Florida Water Management District, West Palm Beach, FL.  </w:t>
      </w:r>
    </w:p>
    <w:p w14:paraId="4EDBF7FE" w14:textId="06DA1092" w:rsidR="002E2237" w:rsidRDefault="002E2237" w:rsidP="008502CA">
      <w:pPr>
        <w:spacing w:after="0"/>
        <w:sectPr w:rsidR="002E2237">
          <w:headerReference w:type="default" r:id="rId11"/>
          <w:footerReference w:type="default" r:id="rId12"/>
          <w:pgSz w:w="12240" w:h="15840"/>
          <w:pgMar w:top="1440" w:right="1440" w:bottom="1440" w:left="1440" w:header="720" w:footer="720" w:gutter="0"/>
          <w:cols w:space="720"/>
          <w:docGrid w:linePitch="360"/>
        </w:sectPr>
      </w:pPr>
    </w:p>
    <w:p w14:paraId="4F689414" w14:textId="64CCDBE5" w:rsidR="00FD698F" w:rsidRPr="00405881" w:rsidRDefault="004E7B34" w:rsidP="00405881">
      <w:pPr>
        <w:spacing w:after="0" w:line="240" w:lineRule="auto"/>
        <w:rPr>
          <w:rFonts w:ascii="Times New Roman" w:eastAsia="Times New Roman" w:hAnsi="Times New Roman" w:cs="Times New Roman"/>
          <w:sz w:val="24"/>
          <w:szCs w:val="24"/>
        </w:rPr>
        <w:sectPr w:rsidR="00FD698F" w:rsidRPr="00405881" w:rsidSect="00FD698F">
          <w:pgSz w:w="15840" w:h="12240" w:orient="landscape"/>
          <w:pgMar w:top="1440" w:right="1440" w:bottom="1440" w:left="1440" w:header="720" w:footer="720" w:gutter="0"/>
          <w:cols w:space="720"/>
          <w:docGrid w:linePitch="360"/>
        </w:sectPr>
      </w:pPr>
      <w:r>
        <w:rPr>
          <w:noProof/>
        </w:rPr>
        <w:lastRenderedPageBreak/>
        <w:drawing>
          <wp:anchor distT="0" distB="0" distL="114300" distR="114300" simplePos="0" relativeHeight="251658240" behindDoc="0" locked="0" layoutInCell="1" allowOverlap="1" wp14:anchorId="7CD86C35" wp14:editId="5A74503B">
            <wp:simplePos x="0" y="0"/>
            <wp:positionH relativeFrom="margin">
              <wp:posOffset>-829945</wp:posOffset>
            </wp:positionH>
            <wp:positionV relativeFrom="margin">
              <wp:posOffset>-366395</wp:posOffset>
            </wp:positionV>
            <wp:extent cx="9742805" cy="63042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42805" cy="63042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9" behindDoc="0" locked="0" layoutInCell="1" allowOverlap="1" wp14:anchorId="3C858BF4" wp14:editId="610DDC8C">
                <wp:simplePos x="0" y="0"/>
                <wp:positionH relativeFrom="column">
                  <wp:posOffset>-398357</wp:posOffset>
                </wp:positionH>
                <wp:positionV relativeFrom="paragraph">
                  <wp:posOffset>5775748</wp:posOffset>
                </wp:positionV>
                <wp:extent cx="9225915" cy="160655"/>
                <wp:effectExtent l="0" t="0" r="0" b="4445"/>
                <wp:wrapSquare wrapText="bothSides"/>
                <wp:docPr id="3" name="Text Box 3"/>
                <wp:cNvGraphicFramePr/>
                <a:graphic xmlns:a="http://schemas.openxmlformats.org/drawingml/2006/main">
                  <a:graphicData uri="http://schemas.microsoft.com/office/word/2010/wordprocessingShape">
                    <wps:wsp>
                      <wps:cNvSpPr txBox="1"/>
                      <wps:spPr>
                        <a:xfrm>
                          <a:off x="0" y="0"/>
                          <a:ext cx="9225915" cy="160655"/>
                        </a:xfrm>
                        <a:prstGeom prst="rect">
                          <a:avLst/>
                        </a:prstGeom>
                        <a:solidFill>
                          <a:prstClr val="white"/>
                        </a:solidFill>
                        <a:ln>
                          <a:noFill/>
                        </a:ln>
                      </wps:spPr>
                      <wps:txbx>
                        <w:txbxContent>
                          <w:p w14:paraId="202C0FBD" w14:textId="695D6067" w:rsidR="000228E3" w:rsidRPr="004A096E" w:rsidRDefault="000228E3" w:rsidP="000228E3">
                            <w:pPr>
                              <w:pStyle w:val="Caption"/>
                              <w:rPr>
                                <w:rFonts w:ascii="Times New Roman" w:eastAsia="Times New Roman" w:hAnsi="Times New Roman" w:cs="Times New Roman"/>
                              </w:rPr>
                            </w:pPr>
                            <w:r>
                              <w:t xml:space="preserve">Figure </w:t>
                            </w:r>
                            <w:fldSimple w:instr=" SEQ Figure \* ARABIC ">
                              <w:r w:rsidR="00B36996">
                                <w:rPr>
                                  <w:noProof/>
                                </w:rPr>
                                <w:t>1</w:t>
                              </w:r>
                            </w:fldSimple>
                            <w:r>
                              <w:t xml:space="preserve">: LOSA </w:t>
                            </w:r>
                            <w:r w:rsidR="004E7B34">
                              <w:t xml:space="preserve">Permit </w:t>
                            </w:r>
                            <w:r>
                              <w:t>Applications 2015-2020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58BF4" id="_x0000_t202" coordsize="21600,21600" o:spt="202" path="m,l,21600r21600,l21600,xe">
                <v:stroke joinstyle="miter"/>
                <v:path gradientshapeok="t" o:connecttype="rect"/>
              </v:shapetype>
              <v:shape id="Text Box 3" o:spid="_x0000_s1026" type="#_x0000_t202" style="position:absolute;margin-left:-31.35pt;margin-top:454.8pt;width:726.45pt;height:12.6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" stroked="f">
                <v:textbox inset="0,0,0,0">
                  <w:txbxContent>
                    <w:p w14:paraId="202C0FBD" w14:textId="695D6067" w:rsidR="000228E3" w:rsidRPr="004A096E" w:rsidRDefault="000228E3" w:rsidP="000228E3">
                      <w:pPr>
                        <w:pStyle w:val="Caption"/>
                        <w:rPr>
                          <w:rFonts w:ascii="Times New Roman" w:eastAsia="Times New Roman" w:hAnsi="Times New Roman" w:cs="Times New Roman"/>
                        </w:rPr>
                      </w:pPr>
                      <w:r>
                        <w:t xml:space="preserve">Figure </w:t>
                      </w:r>
                      <w:r>
                        <w:fldChar w:fldCharType="begin"/>
                      </w:r>
                      <w:r>
                        <w:instrText xml:space="preserve"> SEQ Figure \* ARABIC </w:instrText>
                      </w:r>
                      <w:r>
                        <w:fldChar w:fldCharType="separate"/>
                      </w:r>
                      <w:r w:rsidR="00B36996">
                        <w:rPr>
                          <w:noProof/>
                        </w:rPr>
                        <w:t>1</w:t>
                      </w:r>
                      <w:r>
                        <w:fldChar w:fldCharType="end"/>
                      </w:r>
                      <w:r>
                        <w:t xml:space="preserve">: LOSA </w:t>
                      </w:r>
                      <w:r w:rsidR="004E7B34">
                        <w:t xml:space="preserve">Permit </w:t>
                      </w:r>
                      <w:r>
                        <w:t>Applications 2015-2020</w:t>
                      </w:r>
                    </w:p>
                  </w:txbxContent>
                </v:textbox>
                <w10:wrap type="square"/>
              </v:shape>
            </w:pict>
          </mc:Fallback>
        </mc:AlternateContent>
      </w:r>
      <w:r w:rsidR="00FD698F" w:rsidRPr="00FD698F">
        <w:rPr>
          <w:rFonts w:ascii="Times New Roman" w:eastAsia="Times New Roman" w:hAnsi="Times New Roman" w:cs="Times New Roman"/>
          <w:sz w:val="24"/>
          <w:szCs w:val="24"/>
        </w:rPr>
        <w:fldChar w:fldCharType="begin"/>
      </w:r>
      <w:r w:rsidR="00FD698F" w:rsidRPr="00FD698F">
        <w:rPr>
          <w:rFonts w:ascii="Times New Roman" w:eastAsia="Times New Roman" w:hAnsi="Times New Roman" w:cs="Times New Roman"/>
          <w:sz w:val="24"/>
          <w:szCs w:val="24"/>
        </w:rPr>
        <w:instrText xml:space="preserve"> INCLUDEPICTURE "cid:1AAF9609-774E-4A84-88AE-D01CBB7EFF03" \* MERGEFORMATINET </w:instrText>
      </w:r>
      <w:r w:rsidR="00FD698F" w:rsidRPr="00FD698F">
        <w:rPr>
          <w:rFonts w:ascii="Times New Roman" w:eastAsia="Times New Roman" w:hAnsi="Times New Roman" w:cs="Times New Roman"/>
          <w:sz w:val="24"/>
          <w:szCs w:val="24"/>
        </w:rPr>
        <w:fldChar w:fldCharType="separate"/>
      </w:r>
      <w:r w:rsidR="00FD698F" w:rsidRPr="00FD698F">
        <w:rPr>
          <w:rFonts w:ascii="Times New Roman" w:eastAsia="Times New Roman" w:hAnsi="Times New Roman" w:cs="Times New Roman"/>
          <w:noProof/>
          <w:sz w:val="24"/>
          <w:szCs w:val="24"/>
        </w:rPr>
        <mc:AlternateContent>
          <mc:Choice Requires="wps">
            <w:drawing>
              <wp:inline distT="0" distB="0" distL="0" distR="0" wp14:anchorId="33EDFC75" wp14:editId="514DF3CB">
                <wp:extent cx="304800" cy="304800"/>
                <wp:effectExtent l="0" t="0" r="0" b="0"/>
                <wp:docPr id="1" name="Rectangle 1" descr="20201215_LOSA_2015_20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6E221D" id="Rectangle 1" o:spid="_x0000_s1026" alt="20201215_LOSA_2015_202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" filled="f" stroked="f">
                <o:lock v:ext="edit" aspectratio="t"/>
                <w10:anchorlock/>
              </v:rect>
            </w:pict>
          </mc:Fallback>
        </mc:AlternateContent>
      </w:r>
      <w:r w:rsidR="00FD698F" w:rsidRPr="00FD698F">
        <w:rPr>
          <w:rFonts w:ascii="Times New Roman" w:eastAsia="Times New Roman" w:hAnsi="Times New Roman" w:cs="Times New Roman"/>
          <w:sz w:val="24"/>
          <w:szCs w:val="24"/>
        </w:rPr>
        <w:fldChar w:fldCharType="end"/>
      </w:r>
    </w:p>
    <w:p w14:paraId="0811CF33" w14:textId="6BF58332" w:rsidR="00FD698F" w:rsidRPr="00405881" w:rsidRDefault="004E7B34" w:rsidP="00405881">
      <w:pPr>
        <w:spacing w:after="0"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62337" behindDoc="0" locked="0" layoutInCell="1" allowOverlap="1" wp14:anchorId="35D1BE23" wp14:editId="349AE86E">
                <wp:simplePos x="0" y="0"/>
                <wp:positionH relativeFrom="column">
                  <wp:posOffset>-304800</wp:posOffset>
                </wp:positionH>
                <wp:positionV relativeFrom="paragraph">
                  <wp:posOffset>8085455</wp:posOffset>
                </wp:positionV>
                <wp:extent cx="6163310" cy="135255"/>
                <wp:effectExtent l="0" t="0" r="0" b="4445"/>
                <wp:wrapSquare wrapText="bothSides"/>
                <wp:docPr id="5" name="Text Box 5"/>
                <wp:cNvGraphicFramePr/>
                <a:graphic xmlns:a="http://schemas.openxmlformats.org/drawingml/2006/main">
                  <a:graphicData uri="http://schemas.microsoft.com/office/word/2010/wordprocessingShape">
                    <wps:wsp>
                      <wps:cNvSpPr txBox="1"/>
                      <wps:spPr>
                        <a:xfrm>
                          <a:off x="0" y="0"/>
                          <a:ext cx="6163310" cy="135255"/>
                        </a:xfrm>
                        <a:prstGeom prst="rect">
                          <a:avLst/>
                        </a:prstGeom>
                        <a:solidFill>
                          <a:prstClr val="white"/>
                        </a:solidFill>
                        <a:ln>
                          <a:noFill/>
                        </a:ln>
                      </wps:spPr>
                      <wps:txbx>
                        <w:txbxContent>
                          <w:p w14:paraId="40A7309E" w14:textId="22DA8B67" w:rsidR="004E7B34" w:rsidRPr="00740905" w:rsidRDefault="004E7B34" w:rsidP="004E7B34">
                            <w:pPr>
                              <w:pStyle w:val="Caption"/>
                              <w:rPr>
                                <w:noProof/>
                                <w:sz w:val="22"/>
                                <w:szCs w:val="22"/>
                              </w:rPr>
                            </w:pPr>
                            <w:r>
                              <w:t xml:space="preserve">Figure </w:t>
                            </w:r>
                            <w:fldSimple w:instr=" SEQ Figure \* ARABIC ">
                              <w:r w:rsidR="00B36996">
                                <w:rPr>
                                  <w:noProof/>
                                </w:rPr>
                                <w:t>2</w:t>
                              </w:r>
                            </w:fldSimple>
                            <w:r>
                              <w:t>: LEC Permit Applications 2015-2020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1BE23" id="Text Box 5" o:spid="_x0000_s1027" type="#_x0000_t202" style="position:absolute;margin-left:-24pt;margin-top:636.65pt;width:485.3pt;height:10.65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" stroked="f">
                <v:textbox inset="0,0,0,0">
                  <w:txbxContent>
                    <w:p w14:paraId="40A7309E" w14:textId="22DA8B67" w:rsidR="004E7B34" w:rsidRPr="00740905" w:rsidRDefault="004E7B34" w:rsidP="004E7B34">
                      <w:pPr>
                        <w:pStyle w:val="Caption"/>
                        <w:rPr>
                          <w:noProof/>
                          <w:sz w:val="22"/>
                          <w:szCs w:val="22"/>
                        </w:rPr>
                      </w:pPr>
                      <w:r>
                        <w:t xml:space="preserve">Figure </w:t>
                      </w:r>
                      <w:r>
                        <w:fldChar w:fldCharType="begin"/>
                      </w:r>
                      <w:r>
                        <w:instrText xml:space="preserve"> SEQ Figure \* ARABIC </w:instrText>
                      </w:r>
                      <w:r>
                        <w:fldChar w:fldCharType="separate"/>
                      </w:r>
                      <w:r w:rsidR="00B36996">
                        <w:rPr>
                          <w:noProof/>
                        </w:rPr>
                        <w:t>2</w:t>
                      </w:r>
                      <w:r>
                        <w:fldChar w:fldCharType="end"/>
                      </w:r>
                      <w:r>
                        <w:t>: LEC Permit Applications 2015-2020</w:t>
                      </w:r>
                    </w:p>
                  </w:txbxContent>
                </v:textbox>
                <w10:wrap type="square"/>
              </v:shape>
            </w:pict>
          </mc:Fallback>
        </mc:AlternateContent>
      </w:r>
      <w:r>
        <w:rPr>
          <w:noProof/>
        </w:rPr>
        <w:drawing>
          <wp:anchor distT="0" distB="0" distL="114300" distR="114300" simplePos="0" relativeHeight="251658241" behindDoc="0" locked="0" layoutInCell="1" allowOverlap="1" wp14:anchorId="1C426466" wp14:editId="3A062846">
            <wp:simplePos x="0" y="0"/>
            <wp:positionH relativeFrom="margin">
              <wp:posOffset>-499533</wp:posOffset>
            </wp:positionH>
            <wp:positionV relativeFrom="margin">
              <wp:posOffset>-728345</wp:posOffset>
            </wp:positionV>
            <wp:extent cx="6809740" cy="8813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09740" cy="8813800"/>
                    </a:xfrm>
                    <a:prstGeom prst="rect">
                      <a:avLst/>
                    </a:prstGeom>
                  </pic:spPr>
                </pic:pic>
              </a:graphicData>
            </a:graphic>
            <wp14:sizeRelH relativeFrom="margin">
              <wp14:pctWidth>0</wp14:pctWidth>
            </wp14:sizeRelH>
            <wp14:sizeRelV relativeFrom="margin">
              <wp14:pctHeight>0</wp14:pctHeight>
            </wp14:sizeRelV>
          </wp:anchor>
        </w:drawing>
      </w:r>
    </w:p>
    <w:sectPr w:rsidR="00FD698F" w:rsidRPr="00405881" w:rsidSect="00FD69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17C65" w14:textId="77777777" w:rsidR="00C521A5" w:rsidRDefault="00C521A5">
      <w:pPr>
        <w:spacing w:after="0" w:line="240" w:lineRule="auto"/>
      </w:pPr>
      <w:r>
        <w:separator/>
      </w:r>
    </w:p>
  </w:endnote>
  <w:endnote w:type="continuationSeparator" w:id="0">
    <w:p w14:paraId="041E50E2" w14:textId="77777777" w:rsidR="00C521A5" w:rsidRDefault="00C521A5">
      <w:pPr>
        <w:spacing w:after="0" w:line="240" w:lineRule="auto"/>
      </w:pPr>
      <w:r>
        <w:continuationSeparator/>
      </w:r>
    </w:p>
  </w:endnote>
  <w:endnote w:type="continuationNotice" w:id="1">
    <w:p w14:paraId="2F9351E8" w14:textId="77777777" w:rsidR="00C521A5" w:rsidRDefault="00C521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135F76DC" w14:paraId="05DFFA93" w14:textId="77777777" w:rsidTr="135F76DC">
      <w:tc>
        <w:tcPr>
          <w:tcW w:w="3120" w:type="dxa"/>
        </w:tcPr>
        <w:p w14:paraId="4A217B80" w14:textId="0F12DEF0" w:rsidR="135F76DC" w:rsidRDefault="135F76DC" w:rsidP="135F76DC">
          <w:pPr>
            <w:pStyle w:val="Header"/>
            <w:ind w:left="-115"/>
          </w:pPr>
        </w:p>
      </w:tc>
      <w:tc>
        <w:tcPr>
          <w:tcW w:w="3120" w:type="dxa"/>
        </w:tcPr>
        <w:p w14:paraId="006B57BF" w14:textId="117079FB" w:rsidR="135F76DC" w:rsidRDefault="135F76DC" w:rsidP="135F76DC">
          <w:pPr>
            <w:pStyle w:val="Header"/>
            <w:jc w:val="center"/>
          </w:pPr>
        </w:p>
      </w:tc>
      <w:tc>
        <w:tcPr>
          <w:tcW w:w="3120" w:type="dxa"/>
        </w:tcPr>
        <w:p w14:paraId="5FFDB68D" w14:textId="620A2A5A" w:rsidR="135F76DC" w:rsidRDefault="135F76DC" w:rsidP="135F76DC">
          <w:pPr>
            <w:pStyle w:val="Header"/>
            <w:ind w:right="-115"/>
            <w:jc w:val="right"/>
          </w:pPr>
        </w:p>
      </w:tc>
    </w:tr>
  </w:tbl>
  <w:p w14:paraId="26E30E24" w14:textId="71A495DF" w:rsidR="135F76DC" w:rsidRDefault="135F76DC" w:rsidP="135F7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2621A4" w14:textId="77777777" w:rsidR="00C521A5" w:rsidRDefault="00C521A5">
      <w:pPr>
        <w:spacing w:after="0" w:line="240" w:lineRule="auto"/>
      </w:pPr>
      <w:r>
        <w:separator/>
      </w:r>
    </w:p>
  </w:footnote>
  <w:footnote w:type="continuationSeparator" w:id="0">
    <w:p w14:paraId="251C11F1" w14:textId="77777777" w:rsidR="00C521A5" w:rsidRDefault="00C521A5">
      <w:pPr>
        <w:spacing w:after="0" w:line="240" w:lineRule="auto"/>
      </w:pPr>
      <w:r>
        <w:continuationSeparator/>
      </w:r>
    </w:p>
  </w:footnote>
  <w:footnote w:type="continuationNotice" w:id="1">
    <w:p w14:paraId="466E9851" w14:textId="77777777" w:rsidR="00C521A5" w:rsidRDefault="00C521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135F76DC" w14:paraId="58886076" w14:textId="77777777" w:rsidTr="135F76DC">
      <w:tc>
        <w:tcPr>
          <w:tcW w:w="3120" w:type="dxa"/>
        </w:tcPr>
        <w:p w14:paraId="67EF718F" w14:textId="623F875B" w:rsidR="135F76DC" w:rsidRDefault="135F76DC" w:rsidP="135F76DC">
          <w:pPr>
            <w:pStyle w:val="Header"/>
            <w:ind w:left="-115"/>
          </w:pPr>
        </w:p>
      </w:tc>
      <w:tc>
        <w:tcPr>
          <w:tcW w:w="3120" w:type="dxa"/>
        </w:tcPr>
        <w:p w14:paraId="29DAE0AD" w14:textId="7A0EB786" w:rsidR="135F76DC" w:rsidRDefault="135F76DC" w:rsidP="135F76DC">
          <w:pPr>
            <w:pStyle w:val="Header"/>
            <w:jc w:val="center"/>
          </w:pPr>
        </w:p>
      </w:tc>
      <w:tc>
        <w:tcPr>
          <w:tcW w:w="3120" w:type="dxa"/>
        </w:tcPr>
        <w:p w14:paraId="3D2C7D2E" w14:textId="367ED645" w:rsidR="135F76DC" w:rsidRDefault="135F76DC" w:rsidP="135F76DC">
          <w:pPr>
            <w:pStyle w:val="Header"/>
            <w:ind w:right="-115"/>
            <w:jc w:val="right"/>
          </w:pPr>
        </w:p>
      </w:tc>
    </w:tr>
  </w:tbl>
  <w:p w14:paraId="56689DFE" w14:textId="75287FBC" w:rsidR="135F76DC" w:rsidRDefault="135F76DC" w:rsidP="135F76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A1641B"/>
    <w:multiLevelType w:val="hybridMultilevel"/>
    <w:tmpl w:val="4C64FBF2"/>
    <w:lvl w:ilvl="0" w:tplc="0409000F">
      <w:start w:val="2"/>
      <w:numFmt w:val="decimal"/>
      <w:lvlText w:val="%1."/>
      <w:lvlJc w:val="left"/>
      <w:pPr>
        <w:tabs>
          <w:tab w:val="num" w:pos="720"/>
        </w:tabs>
        <w:ind w:left="720" w:hanging="360"/>
      </w:pPr>
      <w:rPr>
        <w:rFonts w:hint="default"/>
      </w:rPr>
    </w:lvl>
    <w:lvl w:ilvl="1" w:tplc="1564F232">
      <w:start w:val="4"/>
      <w:numFmt w:val="upperLetter"/>
      <w:lvlText w:val="%2."/>
      <w:lvlJc w:val="left"/>
      <w:pPr>
        <w:tabs>
          <w:tab w:val="num" w:pos="1440"/>
        </w:tabs>
        <w:ind w:left="1440" w:hanging="360"/>
      </w:pPr>
      <w:rPr>
        <w:rFonts w:hint="default"/>
        <w:i w:val="0"/>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F50673B"/>
    <w:multiLevelType w:val="hybridMultilevel"/>
    <w:tmpl w:val="0A5CC150"/>
    <w:lvl w:ilvl="0" w:tplc="A344EDD8">
      <w:start w:val="1"/>
      <w:numFmt w:val="bullet"/>
      <w:lvlText w:val=""/>
      <w:lvlJc w:val="left"/>
      <w:pPr>
        <w:ind w:left="720" w:hanging="360"/>
      </w:pPr>
      <w:rPr>
        <w:rFonts w:ascii="Symbol" w:hAnsi="Symbol" w:hint="default"/>
      </w:rPr>
    </w:lvl>
    <w:lvl w:ilvl="1" w:tplc="3F562D30">
      <w:start w:val="1"/>
      <w:numFmt w:val="bullet"/>
      <w:lvlText w:val="o"/>
      <w:lvlJc w:val="left"/>
      <w:pPr>
        <w:ind w:left="1440" w:hanging="360"/>
      </w:pPr>
      <w:rPr>
        <w:rFonts w:ascii="Courier New" w:hAnsi="Courier New" w:hint="default"/>
      </w:rPr>
    </w:lvl>
    <w:lvl w:ilvl="2" w:tplc="1848DC06">
      <w:start w:val="1"/>
      <w:numFmt w:val="bullet"/>
      <w:lvlText w:val=""/>
      <w:lvlJc w:val="left"/>
      <w:pPr>
        <w:ind w:left="2160" w:hanging="360"/>
      </w:pPr>
      <w:rPr>
        <w:rFonts w:ascii="Wingdings" w:hAnsi="Wingdings" w:hint="default"/>
      </w:rPr>
    </w:lvl>
    <w:lvl w:ilvl="3" w:tplc="7DA47520">
      <w:start w:val="1"/>
      <w:numFmt w:val="bullet"/>
      <w:lvlText w:val=""/>
      <w:lvlJc w:val="left"/>
      <w:pPr>
        <w:ind w:left="2880" w:hanging="360"/>
      </w:pPr>
      <w:rPr>
        <w:rFonts w:ascii="Symbol" w:hAnsi="Symbol" w:hint="default"/>
      </w:rPr>
    </w:lvl>
    <w:lvl w:ilvl="4" w:tplc="E9AC2486">
      <w:start w:val="1"/>
      <w:numFmt w:val="bullet"/>
      <w:lvlText w:val="o"/>
      <w:lvlJc w:val="left"/>
      <w:pPr>
        <w:ind w:left="3600" w:hanging="360"/>
      </w:pPr>
      <w:rPr>
        <w:rFonts w:ascii="Courier New" w:hAnsi="Courier New" w:hint="default"/>
      </w:rPr>
    </w:lvl>
    <w:lvl w:ilvl="5" w:tplc="A024181C">
      <w:start w:val="1"/>
      <w:numFmt w:val="bullet"/>
      <w:lvlText w:val=""/>
      <w:lvlJc w:val="left"/>
      <w:pPr>
        <w:ind w:left="4320" w:hanging="360"/>
      </w:pPr>
      <w:rPr>
        <w:rFonts w:ascii="Wingdings" w:hAnsi="Wingdings" w:hint="default"/>
      </w:rPr>
    </w:lvl>
    <w:lvl w:ilvl="6" w:tplc="279AA3BC">
      <w:start w:val="1"/>
      <w:numFmt w:val="bullet"/>
      <w:lvlText w:val=""/>
      <w:lvlJc w:val="left"/>
      <w:pPr>
        <w:ind w:left="5040" w:hanging="360"/>
      </w:pPr>
      <w:rPr>
        <w:rFonts w:ascii="Symbol" w:hAnsi="Symbol" w:hint="default"/>
      </w:rPr>
    </w:lvl>
    <w:lvl w:ilvl="7" w:tplc="12861ED0">
      <w:start w:val="1"/>
      <w:numFmt w:val="bullet"/>
      <w:lvlText w:val="o"/>
      <w:lvlJc w:val="left"/>
      <w:pPr>
        <w:ind w:left="5760" w:hanging="360"/>
      </w:pPr>
      <w:rPr>
        <w:rFonts w:ascii="Courier New" w:hAnsi="Courier New" w:hint="default"/>
      </w:rPr>
    </w:lvl>
    <w:lvl w:ilvl="8" w:tplc="8A1A8752">
      <w:start w:val="1"/>
      <w:numFmt w:val="bullet"/>
      <w:lvlText w:val=""/>
      <w:lvlJc w:val="left"/>
      <w:pPr>
        <w:ind w:left="6480" w:hanging="360"/>
      </w:pPr>
      <w:rPr>
        <w:rFonts w:ascii="Wingdings" w:hAnsi="Wingdings" w:hint="default"/>
      </w:rPr>
    </w:lvl>
  </w:abstractNum>
  <w:abstractNum w:abstractNumId="2" w15:restartNumberingAfterBreak="0">
    <w:nsid w:val="27970227"/>
    <w:multiLevelType w:val="multilevel"/>
    <w:tmpl w:val="970A05AC"/>
    <w:lvl w:ilvl="0">
      <w:start w:val="1"/>
      <w:numFmt w:val="upperRoman"/>
      <w:pStyle w:val="Heading1"/>
      <w:suff w:val="nothing"/>
      <w:lvlText w:val="%1."/>
      <w:lvlJc w:val="left"/>
      <w:pPr>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ascii="Times New Roman" w:eastAsia="Times New Roman" w:hAnsi="Times New Roman" w:cs="Times New Roman"/>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 w15:restartNumberingAfterBreak="0">
    <w:nsid w:val="6CDA4120"/>
    <w:multiLevelType w:val="hybridMultilevel"/>
    <w:tmpl w:val="5824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1C24AD"/>
    <w:rsid w:val="000228E3"/>
    <w:rsid w:val="000256EF"/>
    <w:rsid w:val="00027258"/>
    <w:rsid w:val="0006542D"/>
    <w:rsid w:val="000707C9"/>
    <w:rsid w:val="00074536"/>
    <w:rsid w:val="000A32B3"/>
    <w:rsid w:val="000B7C19"/>
    <w:rsid w:val="000C400A"/>
    <w:rsid w:val="000D1D9E"/>
    <w:rsid w:val="000E4784"/>
    <w:rsid w:val="000F0123"/>
    <w:rsid w:val="000F2959"/>
    <w:rsid w:val="000F691A"/>
    <w:rsid w:val="00113A43"/>
    <w:rsid w:val="0011401D"/>
    <w:rsid w:val="00121227"/>
    <w:rsid w:val="001411EB"/>
    <w:rsid w:val="001515D1"/>
    <w:rsid w:val="001564D9"/>
    <w:rsid w:val="00163ADA"/>
    <w:rsid w:val="00171A01"/>
    <w:rsid w:val="0017296A"/>
    <w:rsid w:val="00174D55"/>
    <w:rsid w:val="00187491"/>
    <w:rsid w:val="001A3241"/>
    <w:rsid w:val="001A70B5"/>
    <w:rsid w:val="001B1668"/>
    <w:rsid w:val="001C5CC3"/>
    <w:rsid w:val="001D35BB"/>
    <w:rsid w:val="001D689B"/>
    <w:rsid w:val="001E31B8"/>
    <w:rsid w:val="001E5475"/>
    <w:rsid w:val="00201109"/>
    <w:rsid w:val="00206AB9"/>
    <w:rsid w:val="00243745"/>
    <w:rsid w:val="00267A10"/>
    <w:rsid w:val="00276209"/>
    <w:rsid w:val="00281451"/>
    <w:rsid w:val="0028795D"/>
    <w:rsid w:val="00287BB3"/>
    <w:rsid w:val="00293E65"/>
    <w:rsid w:val="00296170"/>
    <w:rsid w:val="002966EB"/>
    <w:rsid w:val="002A41DC"/>
    <w:rsid w:val="002C1677"/>
    <w:rsid w:val="002D2EC2"/>
    <w:rsid w:val="002E041F"/>
    <w:rsid w:val="002E2237"/>
    <w:rsid w:val="002E4442"/>
    <w:rsid w:val="002F243B"/>
    <w:rsid w:val="002F4A07"/>
    <w:rsid w:val="002F7F44"/>
    <w:rsid w:val="0031110E"/>
    <w:rsid w:val="00322BB9"/>
    <w:rsid w:val="003272F5"/>
    <w:rsid w:val="003313B6"/>
    <w:rsid w:val="003319AA"/>
    <w:rsid w:val="003338EA"/>
    <w:rsid w:val="003558B6"/>
    <w:rsid w:val="00364280"/>
    <w:rsid w:val="0036762F"/>
    <w:rsid w:val="00372267"/>
    <w:rsid w:val="00380D1E"/>
    <w:rsid w:val="003839C1"/>
    <w:rsid w:val="00387FA7"/>
    <w:rsid w:val="00390A87"/>
    <w:rsid w:val="00391A7D"/>
    <w:rsid w:val="003C04F8"/>
    <w:rsid w:val="003C1F2A"/>
    <w:rsid w:val="003E0629"/>
    <w:rsid w:val="003E2C67"/>
    <w:rsid w:val="00405881"/>
    <w:rsid w:val="0041542D"/>
    <w:rsid w:val="00433A87"/>
    <w:rsid w:val="00441288"/>
    <w:rsid w:val="004459E7"/>
    <w:rsid w:val="00446245"/>
    <w:rsid w:val="00455C17"/>
    <w:rsid w:val="004667D8"/>
    <w:rsid w:val="0047212C"/>
    <w:rsid w:val="00485487"/>
    <w:rsid w:val="004A6323"/>
    <w:rsid w:val="004A6B05"/>
    <w:rsid w:val="004E089B"/>
    <w:rsid w:val="004E7B34"/>
    <w:rsid w:val="004F2A96"/>
    <w:rsid w:val="00504589"/>
    <w:rsid w:val="00531349"/>
    <w:rsid w:val="00534A70"/>
    <w:rsid w:val="005412D7"/>
    <w:rsid w:val="00543162"/>
    <w:rsid w:val="005570B0"/>
    <w:rsid w:val="00587D9F"/>
    <w:rsid w:val="005C0FF4"/>
    <w:rsid w:val="005D0ADA"/>
    <w:rsid w:val="005E085E"/>
    <w:rsid w:val="005F3023"/>
    <w:rsid w:val="005F353A"/>
    <w:rsid w:val="005F77A1"/>
    <w:rsid w:val="00606AB3"/>
    <w:rsid w:val="006259EA"/>
    <w:rsid w:val="00643EF5"/>
    <w:rsid w:val="00644863"/>
    <w:rsid w:val="006531CD"/>
    <w:rsid w:val="006552EA"/>
    <w:rsid w:val="006637B0"/>
    <w:rsid w:val="00676336"/>
    <w:rsid w:val="0069205F"/>
    <w:rsid w:val="006A756B"/>
    <w:rsid w:val="006A79AA"/>
    <w:rsid w:val="006A7EFA"/>
    <w:rsid w:val="006C2259"/>
    <w:rsid w:val="006C3492"/>
    <w:rsid w:val="006C4389"/>
    <w:rsid w:val="006D0BDA"/>
    <w:rsid w:val="006D49B9"/>
    <w:rsid w:val="006D6808"/>
    <w:rsid w:val="006F48F6"/>
    <w:rsid w:val="00703D79"/>
    <w:rsid w:val="0071245E"/>
    <w:rsid w:val="00723E63"/>
    <w:rsid w:val="00750B82"/>
    <w:rsid w:val="00760906"/>
    <w:rsid w:val="00762DE1"/>
    <w:rsid w:val="00772427"/>
    <w:rsid w:val="0077663A"/>
    <w:rsid w:val="00780BE5"/>
    <w:rsid w:val="007A1288"/>
    <w:rsid w:val="007A5FDD"/>
    <w:rsid w:val="007B6E5B"/>
    <w:rsid w:val="007C3A39"/>
    <w:rsid w:val="007C60E8"/>
    <w:rsid w:val="007C65CE"/>
    <w:rsid w:val="007E63D3"/>
    <w:rsid w:val="007E6B6B"/>
    <w:rsid w:val="007F3C05"/>
    <w:rsid w:val="00804400"/>
    <w:rsid w:val="0084187E"/>
    <w:rsid w:val="008502CA"/>
    <w:rsid w:val="00854C76"/>
    <w:rsid w:val="008559F7"/>
    <w:rsid w:val="008604AD"/>
    <w:rsid w:val="00867ADD"/>
    <w:rsid w:val="008714C1"/>
    <w:rsid w:val="00897FE8"/>
    <w:rsid w:val="008A2B6E"/>
    <w:rsid w:val="008A466A"/>
    <w:rsid w:val="008D0164"/>
    <w:rsid w:val="008E0F7A"/>
    <w:rsid w:val="008E2952"/>
    <w:rsid w:val="008E75F4"/>
    <w:rsid w:val="008F045A"/>
    <w:rsid w:val="009303F5"/>
    <w:rsid w:val="009311A9"/>
    <w:rsid w:val="0094196B"/>
    <w:rsid w:val="00945848"/>
    <w:rsid w:val="00952024"/>
    <w:rsid w:val="00960A31"/>
    <w:rsid w:val="00966710"/>
    <w:rsid w:val="00975D09"/>
    <w:rsid w:val="009949E7"/>
    <w:rsid w:val="009966AC"/>
    <w:rsid w:val="009A7A62"/>
    <w:rsid w:val="009C2C81"/>
    <w:rsid w:val="009E554C"/>
    <w:rsid w:val="00A03FA0"/>
    <w:rsid w:val="00A33319"/>
    <w:rsid w:val="00A341F7"/>
    <w:rsid w:val="00A34E7D"/>
    <w:rsid w:val="00A61ED9"/>
    <w:rsid w:val="00A71E27"/>
    <w:rsid w:val="00A7401D"/>
    <w:rsid w:val="00A7546C"/>
    <w:rsid w:val="00A82969"/>
    <w:rsid w:val="00A86352"/>
    <w:rsid w:val="00A939DB"/>
    <w:rsid w:val="00AA1E2E"/>
    <w:rsid w:val="00AA5D9C"/>
    <w:rsid w:val="00AA6F5F"/>
    <w:rsid w:val="00AB6676"/>
    <w:rsid w:val="00AC73F6"/>
    <w:rsid w:val="00AD19E3"/>
    <w:rsid w:val="00AE47E2"/>
    <w:rsid w:val="00B36996"/>
    <w:rsid w:val="00B37B59"/>
    <w:rsid w:val="00B42415"/>
    <w:rsid w:val="00B60EAD"/>
    <w:rsid w:val="00B63BEB"/>
    <w:rsid w:val="00B72BE6"/>
    <w:rsid w:val="00B87BB9"/>
    <w:rsid w:val="00B964B6"/>
    <w:rsid w:val="00BA1C41"/>
    <w:rsid w:val="00BA65A0"/>
    <w:rsid w:val="00BB74D7"/>
    <w:rsid w:val="00BD5945"/>
    <w:rsid w:val="00BE7482"/>
    <w:rsid w:val="00BF6DA4"/>
    <w:rsid w:val="00C00BE7"/>
    <w:rsid w:val="00C123F5"/>
    <w:rsid w:val="00C20D77"/>
    <w:rsid w:val="00C2532F"/>
    <w:rsid w:val="00C375C8"/>
    <w:rsid w:val="00C521A5"/>
    <w:rsid w:val="00C55791"/>
    <w:rsid w:val="00C7106C"/>
    <w:rsid w:val="00C760FE"/>
    <w:rsid w:val="00CB2312"/>
    <w:rsid w:val="00CD0F62"/>
    <w:rsid w:val="00CE1855"/>
    <w:rsid w:val="00CE4AF2"/>
    <w:rsid w:val="00D04627"/>
    <w:rsid w:val="00D13972"/>
    <w:rsid w:val="00D20081"/>
    <w:rsid w:val="00D2033D"/>
    <w:rsid w:val="00D2607E"/>
    <w:rsid w:val="00D314A8"/>
    <w:rsid w:val="00D33A06"/>
    <w:rsid w:val="00D6314A"/>
    <w:rsid w:val="00D77443"/>
    <w:rsid w:val="00DB368E"/>
    <w:rsid w:val="00DB7200"/>
    <w:rsid w:val="00DC0771"/>
    <w:rsid w:val="00DD6CB6"/>
    <w:rsid w:val="00DE2E73"/>
    <w:rsid w:val="00DE5263"/>
    <w:rsid w:val="00E00C99"/>
    <w:rsid w:val="00E12179"/>
    <w:rsid w:val="00E12456"/>
    <w:rsid w:val="00E23708"/>
    <w:rsid w:val="00E51A42"/>
    <w:rsid w:val="00E61C7F"/>
    <w:rsid w:val="00E70881"/>
    <w:rsid w:val="00E83364"/>
    <w:rsid w:val="00E91E7C"/>
    <w:rsid w:val="00EA5AC5"/>
    <w:rsid w:val="00EC295E"/>
    <w:rsid w:val="00EC729A"/>
    <w:rsid w:val="00ED4EAC"/>
    <w:rsid w:val="00ED752B"/>
    <w:rsid w:val="00EE483D"/>
    <w:rsid w:val="00EE57FF"/>
    <w:rsid w:val="00EF7407"/>
    <w:rsid w:val="00F13811"/>
    <w:rsid w:val="00F22ADB"/>
    <w:rsid w:val="00F27DB4"/>
    <w:rsid w:val="00F346ED"/>
    <w:rsid w:val="00F40366"/>
    <w:rsid w:val="00F515B5"/>
    <w:rsid w:val="00F60BB7"/>
    <w:rsid w:val="00F7049B"/>
    <w:rsid w:val="00F70C77"/>
    <w:rsid w:val="00F768F2"/>
    <w:rsid w:val="00F83C05"/>
    <w:rsid w:val="00F853A0"/>
    <w:rsid w:val="00FA6BE0"/>
    <w:rsid w:val="00FB70C4"/>
    <w:rsid w:val="00FD1FA9"/>
    <w:rsid w:val="00FD2CD8"/>
    <w:rsid w:val="00FD698F"/>
    <w:rsid w:val="00FE1A5E"/>
    <w:rsid w:val="00FF2B25"/>
    <w:rsid w:val="135F76DC"/>
    <w:rsid w:val="6E1C2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C24AD"/>
  <w15:chartTrackingRefBased/>
  <w15:docId w15:val="{4BC53F9D-61E6-4034-802B-06C3BCC2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90A87"/>
    <w:pPr>
      <w:keepNext/>
      <w:numPr>
        <w:numId w:val="3"/>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90A87"/>
    <w:pPr>
      <w:keepNext/>
      <w:numPr>
        <w:ilvl w:val="1"/>
        <w:numId w:val="3"/>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390A87"/>
    <w:pPr>
      <w:keepNext/>
      <w:numPr>
        <w:ilvl w:val="2"/>
        <w:numId w:val="3"/>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390A87"/>
    <w:pPr>
      <w:keepNext/>
      <w:numPr>
        <w:ilvl w:val="3"/>
        <w:numId w:val="3"/>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390A87"/>
    <w:pPr>
      <w:numPr>
        <w:ilvl w:val="4"/>
        <w:numId w:val="3"/>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390A87"/>
    <w:pPr>
      <w:numPr>
        <w:ilvl w:val="5"/>
        <w:numId w:val="3"/>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90A87"/>
    <w:pPr>
      <w:numPr>
        <w:ilvl w:val="6"/>
        <w:numId w:val="3"/>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90A87"/>
    <w:pPr>
      <w:numPr>
        <w:ilvl w:val="7"/>
        <w:numId w:val="3"/>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90A87"/>
    <w:pPr>
      <w:numPr>
        <w:ilvl w:val="8"/>
        <w:numId w:val="3"/>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5E085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085E"/>
    <w:rPr>
      <w:rFonts w:ascii="Times New Roman" w:hAnsi="Times New Roman" w:cs="Times New Roman"/>
      <w:sz w:val="18"/>
      <w:szCs w:val="18"/>
    </w:rPr>
  </w:style>
  <w:style w:type="paragraph" w:styleId="NormalWeb">
    <w:name w:val="Normal (Web)"/>
    <w:basedOn w:val="Normal"/>
    <w:uiPriority w:val="99"/>
    <w:rsid w:val="00390A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90A87"/>
    <w:rPr>
      <w:rFonts w:ascii="Arial" w:eastAsia="Times New Roman" w:hAnsi="Arial" w:cs="Arial"/>
      <w:b/>
      <w:bCs/>
      <w:kern w:val="32"/>
      <w:sz w:val="32"/>
      <w:szCs w:val="32"/>
    </w:rPr>
  </w:style>
  <w:style w:type="character" w:customStyle="1" w:styleId="Heading2Char">
    <w:name w:val="Heading 2 Char"/>
    <w:basedOn w:val="DefaultParagraphFont"/>
    <w:link w:val="Heading2"/>
    <w:rsid w:val="00390A87"/>
    <w:rPr>
      <w:rFonts w:ascii="Arial" w:eastAsia="Times New Roman" w:hAnsi="Arial" w:cs="Arial"/>
      <w:b/>
      <w:bCs/>
      <w:i/>
      <w:iCs/>
      <w:sz w:val="28"/>
      <w:szCs w:val="28"/>
    </w:rPr>
  </w:style>
  <w:style w:type="character" w:customStyle="1" w:styleId="Heading3Char">
    <w:name w:val="Heading 3 Char"/>
    <w:basedOn w:val="DefaultParagraphFont"/>
    <w:link w:val="Heading3"/>
    <w:rsid w:val="00390A87"/>
    <w:rPr>
      <w:rFonts w:ascii="Arial" w:eastAsia="Times New Roman" w:hAnsi="Arial" w:cs="Arial"/>
      <w:b/>
      <w:bCs/>
      <w:sz w:val="26"/>
      <w:szCs w:val="26"/>
    </w:rPr>
  </w:style>
  <w:style w:type="character" w:customStyle="1" w:styleId="Heading4Char">
    <w:name w:val="Heading 4 Char"/>
    <w:basedOn w:val="DefaultParagraphFont"/>
    <w:link w:val="Heading4"/>
    <w:rsid w:val="00390A8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390A87"/>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90A87"/>
    <w:rPr>
      <w:rFonts w:ascii="Times New Roman" w:eastAsia="Times New Roman" w:hAnsi="Times New Roman" w:cs="Times New Roman"/>
      <w:b/>
      <w:bCs/>
    </w:rPr>
  </w:style>
  <w:style w:type="character" w:customStyle="1" w:styleId="Heading7Char">
    <w:name w:val="Heading 7 Char"/>
    <w:basedOn w:val="DefaultParagraphFont"/>
    <w:link w:val="Heading7"/>
    <w:rsid w:val="00390A87"/>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90A87"/>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90A87"/>
    <w:rPr>
      <w:rFonts w:ascii="Arial" w:eastAsia="Times New Roman" w:hAnsi="Arial" w:cs="Arial"/>
    </w:rPr>
  </w:style>
  <w:style w:type="paragraph" w:styleId="Title">
    <w:name w:val="Title"/>
    <w:basedOn w:val="Normal"/>
    <w:next w:val="Normal"/>
    <w:link w:val="TitleChar"/>
    <w:uiPriority w:val="10"/>
    <w:qFormat/>
    <w:rsid w:val="007C65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65CE"/>
    <w:rPr>
      <w:rFonts w:asciiTheme="majorHAnsi" w:eastAsiaTheme="majorEastAsia" w:hAnsiTheme="majorHAnsi" w:cstheme="majorBidi"/>
      <w:spacing w:val="-10"/>
      <w:kern w:val="28"/>
      <w:sz w:val="56"/>
      <w:szCs w:val="56"/>
    </w:rPr>
  </w:style>
  <w:style w:type="paragraph" w:styleId="NoSpacing">
    <w:name w:val="No Spacing"/>
    <w:uiPriority w:val="1"/>
    <w:qFormat/>
    <w:rsid w:val="0017296A"/>
    <w:pPr>
      <w:spacing w:after="0" w:line="240" w:lineRule="auto"/>
    </w:pPr>
  </w:style>
  <w:style w:type="paragraph" w:customStyle="1" w:styleId="krwrbodytext">
    <w:name w:val="krwr body text"/>
    <w:basedOn w:val="Normal"/>
    <w:qFormat/>
    <w:rsid w:val="00BB74D7"/>
    <w:pPr>
      <w:spacing w:after="240" w:line="240" w:lineRule="auto"/>
      <w:jc w:val="both"/>
    </w:pPr>
    <w:rPr>
      <w:rFonts w:ascii="Times New Roman" w:eastAsiaTheme="minorEastAsia" w:hAnsi="Times New Roman" w:cs="Arial"/>
      <w:lang w:eastAsia="ko-KR"/>
    </w:rPr>
  </w:style>
  <w:style w:type="character" w:styleId="CommentReference">
    <w:name w:val="annotation reference"/>
    <w:basedOn w:val="DefaultParagraphFont"/>
    <w:unhideWhenUsed/>
    <w:rsid w:val="00D6314A"/>
    <w:rPr>
      <w:sz w:val="16"/>
      <w:szCs w:val="16"/>
    </w:rPr>
  </w:style>
  <w:style w:type="paragraph" w:styleId="CommentText">
    <w:name w:val="annotation text"/>
    <w:basedOn w:val="Normal"/>
    <w:link w:val="CommentTextChar"/>
    <w:uiPriority w:val="99"/>
    <w:semiHidden/>
    <w:unhideWhenUsed/>
    <w:rsid w:val="00D6314A"/>
    <w:pPr>
      <w:spacing w:line="240" w:lineRule="auto"/>
    </w:pPr>
    <w:rPr>
      <w:sz w:val="20"/>
      <w:szCs w:val="20"/>
    </w:rPr>
  </w:style>
  <w:style w:type="character" w:customStyle="1" w:styleId="CommentTextChar">
    <w:name w:val="Comment Text Char"/>
    <w:basedOn w:val="DefaultParagraphFont"/>
    <w:link w:val="CommentText"/>
    <w:uiPriority w:val="99"/>
    <w:semiHidden/>
    <w:rsid w:val="00D6314A"/>
    <w:rPr>
      <w:sz w:val="20"/>
      <w:szCs w:val="20"/>
    </w:rPr>
  </w:style>
  <w:style w:type="paragraph" w:styleId="CommentSubject">
    <w:name w:val="annotation subject"/>
    <w:basedOn w:val="CommentText"/>
    <w:next w:val="CommentText"/>
    <w:link w:val="CommentSubjectChar"/>
    <w:uiPriority w:val="99"/>
    <w:semiHidden/>
    <w:unhideWhenUsed/>
    <w:rsid w:val="00D6314A"/>
    <w:rPr>
      <w:b/>
      <w:bCs/>
    </w:rPr>
  </w:style>
  <w:style w:type="character" w:customStyle="1" w:styleId="CommentSubjectChar">
    <w:name w:val="Comment Subject Char"/>
    <w:basedOn w:val="CommentTextChar"/>
    <w:link w:val="CommentSubject"/>
    <w:uiPriority w:val="99"/>
    <w:semiHidden/>
    <w:rsid w:val="00D6314A"/>
    <w:rPr>
      <w:b/>
      <w:bCs/>
      <w:sz w:val="20"/>
      <w:szCs w:val="20"/>
    </w:rPr>
  </w:style>
  <w:style w:type="paragraph" w:customStyle="1" w:styleId="wsplitcited">
    <w:name w:val="wsp lit cited"/>
    <w:basedOn w:val="Normal"/>
    <w:qFormat/>
    <w:rsid w:val="00762DE1"/>
    <w:pPr>
      <w:keepLines/>
      <w:spacing w:line="240" w:lineRule="auto"/>
      <w:ind w:left="720" w:hanging="720"/>
      <w:jc w:val="both"/>
    </w:pPr>
    <w:rPr>
      <w:rFonts w:ascii="Cambria" w:hAnsi="Cambria"/>
    </w:rPr>
  </w:style>
  <w:style w:type="paragraph" w:styleId="Caption">
    <w:name w:val="caption"/>
    <w:basedOn w:val="Normal"/>
    <w:next w:val="Normal"/>
    <w:uiPriority w:val="35"/>
    <w:unhideWhenUsed/>
    <w:qFormat/>
    <w:rsid w:val="000228E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87471">
      <w:bodyDiv w:val="1"/>
      <w:marLeft w:val="0"/>
      <w:marRight w:val="0"/>
      <w:marTop w:val="0"/>
      <w:marBottom w:val="0"/>
      <w:divBdr>
        <w:top w:val="none" w:sz="0" w:space="0" w:color="auto"/>
        <w:left w:val="none" w:sz="0" w:space="0" w:color="auto"/>
        <w:bottom w:val="none" w:sz="0" w:space="0" w:color="auto"/>
        <w:right w:val="none" w:sz="0" w:space="0" w:color="auto"/>
      </w:divBdr>
      <w:divsChild>
        <w:div w:id="155388835">
          <w:marLeft w:val="0"/>
          <w:marRight w:val="0"/>
          <w:marTop w:val="0"/>
          <w:marBottom w:val="0"/>
          <w:divBdr>
            <w:top w:val="none" w:sz="0" w:space="0" w:color="auto"/>
            <w:left w:val="none" w:sz="0" w:space="0" w:color="auto"/>
            <w:bottom w:val="none" w:sz="0" w:space="0" w:color="auto"/>
            <w:right w:val="none" w:sz="0" w:space="0" w:color="auto"/>
          </w:divBdr>
          <w:divsChild>
            <w:div w:id="354772442">
              <w:marLeft w:val="0"/>
              <w:marRight w:val="0"/>
              <w:marTop w:val="0"/>
              <w:marBottom w:val="0"/>
              <w:divBdr>
                <w:top w:val="none" w:sz="0" w:space="0" w:color="auto"/>
                <w:left w:val="none" w:sz="0" w:space="0" w:color="auto"/>
                <w:bottom w:val="none" w:sz="0" w:space="0" w:color="auto"/>
                <w:right w:val="none" w:sz="0" w:space="0" w:color="auto"/>
              </w:divBdr>
              <w:divsChild>
                <w:div w:id="16686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8551">
      <w:bodyDiv w:val="1"/>
      <w:marLeft w:val="0"/>
      <w:marRight w:val="0"/>
      <w:marTop w:val="0"/>
      <w:marBottom w:val="0"/>
      <w:divBdr>
        <w:top w:val="none" w:sz="0" w:space="0" w:color="auto"/>
        <w:left w:val="none" w:sz="0" w:space="0" w:color="auto"/>
        <w:bottom w:val="none" w:sz="0" w:space="0" w:color="auto"/>
        <w:right w:val="none" w:sz="0" w:space="0" w:color="auto"/>
      </w:divBdr>
    </w:div>
    <w:div w:id="1335258591">
      <w:bodyDiv w:val="1"/>
      <w:marLeft w:val="0"/>
      <w:marRight w:val="0"/>
      <w:marTop w:val="0"/>
      <w:marBottom w:val="0"/>
      <w:divBdr>
        <w:top w:val="none" w:sz="0" w:space="0" w:color="auto"/>
        <w:left w:val="none" w:sz="0" w:space="0" w:color="auto"/>
        <w:bottom w:val="none" w:sz="0" w:space="0" w:color="auto"/>
        <w:right w:val="none" w:sz="0" w:space="0" w:color="auto"/>
      </w:divBdr>
    </w:div>
    <w:div w:id="1483156646">
      <w:bodyDiv w:val="1"/>
      <w:marLeft w:val="0"/>
      <w:marRight w:val="0"/>
      <w:marTop w:val="0"/>
      <w:marBottom w:val="0"/>
      <w:divBdr>
        <w:top w:val="none" w:sz="0" w:space="0" w:color="auto"/>
        <w:left w:val="none" w:sz="0" w:space="0" w:color="auto"/>
        <w:bottom w:val="none" w:sz="0" w:space="0" w:color="auto"/>
        <w:right w:val="none" w:sz="0" w:space="0" w:color="auto"/>
      </w:divBdr>
      <w:divsChild>
        <w:div w:id="408580566">
          <w:marLeft w:val="0"/>
          <w:marRight w:val="0"/>
          <w:marTop w:val="0"/>
          <w:marBottom w:val="0"/>
          <w:divBdr>
            <w:top w:val="none" w:sz="0" w:space="0" w:color="auto"/>
            <w:left w:val="none" w:sz="0" w:space="0" w:color="auto"/>
            <w:bottom w:val="none" w:sz="0" w:space="0" w:color="auto"/>
            <w:right w:val="none" w:sz="0" w:space="0" w:color="auto"/>
          </w:divBdr>
          <w:divsChild>
            <w:div w:id="1846942893">
              <w:marLeft w:val="0"/>
              <w:marRight w:val="0"/>
              <w:marTop w:val="0"/>
              <w:marBottom w:val="0"/>
              <w:divBdr>
                <w:top w:val="none" w:sz="0" w:space="0" w:color="auto"/>
                <w:left w:val="none" w:sz="0" w:space="0" w:color="auto"/>
                <w:bottom w:val="none" w:sz="0" w:space="0" w:color="auto"/>
                <w:right w:val="none" w:sz="0" w:space="0" w:color="auto"/>
              </w:divBdr>
              <w:divsChild>
                <w:div w:id="12785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26227">
      <w:bodyDiv w:val="1"/>
      <w:marLeft w:val="0"/>
      <w:marRight w:val="0"/>
      <w:marTop w:val="0"/>
      <w:marBottom w:val="0"/>
      <w:divBdr>
        <w:top w:val="none" w:sz="0" w:space="0" w:color="auto"/>
        <w:left w:val="none" w:sz="0" w:space="0" w:color="auto"/>
        <w:bottom w:val="none" w:sz="0" w:space="0" w:color="auto"/>
        <w:right w:val="none" w:sz="0" w:space="0" w:color="auto"/>
      </w:divBdr>
    </w:div>
    <w:div w:id="200766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92FDD001E0584683D4919D11758D55" ma:contentTypeVersion="8" ma:contentTypeDescription="Create a new document." ma:contentTypeScope="" ma:versionID="a6b5697795bf3a6d5d1a7f570b219df3">
  <xsd:schema xmlns:xsd="http://www.w3.org/2001/XMLSchema" xmlns:xs="http://www.w3.org/2001/XMLSchema" xmlns:p="http://schemas.microsoft.com/office/2006/metadata/properties" xmlns:ns2="5f903342-c6ef-45f9-a3ff-3145cf060366" xmlns:ns3="a59002c2-3ea9-422d-b03a-3bc9df7a71c9" targetNamespace="http://schemas.microsoft.com/office/2006/metadata/properties" ma:root="true" ma:fieldsID="fa67873c86c3419d776a695a3aed55b8" ns2:_="" ns3:_="">
    <xsd:import namespace="5f903342-c6ef-45f9-a3ff-3145cf060366"/>
    <xsd:import namespace="a59002c2-3ea9-422d-b03a-3bc9df7a71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903342-c6ef-45f9-a3ff-3145cf0603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9002c2-3ea9-422d-b03a-3bc9df7a71c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5E9B1-43EE-41A2-89F8-3EE07DDF3963}">
  <ds:schemaRefs>
    <ds:schemaRef ds:uri="http://schemas.microsoft.com/sharepoint/v3/contenttype/forms"/>
  </ds:schemaRefs>
</ds:datastoreItem>
</file>

<file path=customXml/itemProps2.xml><?xml version="1.0" encoding="utf-8"?>
<ds:datastoreItem xmlns:ds="http://schemas.openxmlformats.org/officeDocument/2006/customXml" ds:itemID="{81376306-0A31-44FD-8731-F7A961BDD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903342-c6ef-45f9-a3ff-3145cf060366"/>
    <ds:schemaRef ds:uri="a59002c2-3ea9-422d-b03a-3bc9df7a71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BEA59B-6998-45E0-A76F-45D2A8559F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88CF66-C55A-45FE-A554-87A743ED3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1445</Words>
  <Characters>8237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Nazish Ansari</dc:creator>
  <cp:keywords/>
  <dc:description/>
  <cp:lastModifiedBy>Don Medellin</cp:lastModifiedBy>
  <cp:revision>2</cp:revision>
  <cp:lastPrinted>2020-12-18T18:40:00Z</cp:lastPrinted>
  <dcterms:created xsi:type="dcterms:W3CDTF">2020-12-21T20:33:00Z</dcterms:created>
  <dcterms:modified xsi:type="dcterms:W3CDTF">2020-12-21T20:33:00Z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0x010100C192FDD001E0584683D4919D11758D55</vt:lpwstr>
  </property>
</Properties>
</file>